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Alfredo Montoya Melgar, don Cándido Conde-Pumpido Tourón y la magistrada doña María Luisa Balaguer Callejón, en el recurso de amparo núm. 5783-2018,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noviembre de 2018, la entidad Euroinversiones Inmobiliarias Costa Sur, S.L., representada por la procuradora de los Tribunales doña Blanca Berriatua Horta y bajo la dirección del letrado don Marcelino Gilabert Costa, interpuso recurso de amparo contra los autos dictados por el Juzgado de Primera Instancia e Instrucción núm. 3 de Lorca en el procedimiento de ejecución hipotecaria núm. 102-2018 en fechas 3 de julio y 26 de septiembre de 2018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102-2018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20 de abril de 2018 se acordó despachar ejecución frente las sociedades demandadas. El citado auto y el decreto de la misma fecha que le fueron comunicados a las citadas entidades a través de la sede judicial electrónica el día 26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Euroinversiones Inmobiliarias Costa Sur, S.L., presentó escrito de oposición a la ejecución despachada con fecha 26 de junio de 2018. Por auto de 3 de julio de 2018 se acordó su inadmisión por presentación extemporánea, tomando como fecha de notificación el 26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26 de abril de 2018 sino el 11 de junio de 2018 y que la comunicación remitida a través de la dirección electrónica habilitada no puede entenderse más que un aviso de puesta a disposición o descarga de su contenido durante un plazo determinado (en el caso desde el 26 de abril al 11 de junio de 2018) y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fue desestimado por auto de 26 de septiembre de 2018.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si bien “es cierto que la notificación por medios electrónicos efectivamente se realiza cuando el destinatario accede a su contenido”, la recurrente “yerra en el plazo en el que puede acceder a [dicho] contenido a efectos de la práctica de la notificación el cual es de diez días naturales desde la puesta a su disposición y ello por imperativo del artículo 43.2 de la citada Ley 39/2015, de 1 de octubre, del Procedimiento Administrativo Común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órgano emisor Juzgados y Tribunales (SGAJ) en la Dirección Electrónica Habilitada del titular Penrei Inversiones, S.L., — NIF B73836173.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26 de abril de 2018 hasta el 11 de junio de 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 3 DE LORCA EHJ/000000102/2018’”.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mayo de 2019 la Sección Primera de este Tribunal acordó admitir a trámite el recurso de amparo y dirigir comunicación al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27 de mayo de 2019, la parte demandante formuló sus alegaciones, reiterando lo dicho en el otrosí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4 de junio de 2019, interesa que se acuerde la anotación preventiva de la demanda en el registro de la propiedad, aunque esta última medida no haya sido solicitada en el recurso de amparo. Tras exponer la doctrina de este Tribunal sobre suspensión de resoluciones y actos impugnados, aduce que en el presente caso la suspensión no aparece muy fundamentada por la propia parte recurrente, resultará más eficaz la anotación preventiva de la demanda en el registro de la propiedad mediante la que se evitaría que un hipotético tercer adquirente del inmueble hipotecado quede especialmente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21 de junio de 2019 se acordó, conforme a lo dispuesto en el art. 56 LOTC, dar audiencia por tres días a Banco de Sabadell, S.A., representado por la procuradora doña Blanca María Grande Pesquero, por haberse personado en las actuaciones principales. Esta parte ha presentado escrito en que solicita la denegación de la suspensión ya que, a su juicio, la demandante de amparo no ha acreditado ningún tipo de perjuicio que pueda considerarse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102-2018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en la fase inicial una vez rechazada la oposición a la ejecución y que el inmueble sobre el que se sigue tal ejecución está constituido por una vivienda cuya situación posesoria no consta. 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102-2018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