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6022-2018,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23 de mayo de 2018 se acordó despachar ejecución frente las sociedades demandadas. El citado auto y el decreto de la misma fecha que le sigue fueron comunicados a las citadas entidades a través de la sede judicial electrónica el día 24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24 de julio de 2018. Por auto de 3 de septiembre de 2018 se acordó su inadmisión por presentación extemporánea, tomando como fecha de notificación el 24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24 de mayo de 2018 sino el 9 de julio de 2018, y que la comunicación remitida a través de la dirección electrónica habilitada no podía entenderse más que un aviso de puesta a disposición o descarga de su contenido durante un plazo determinado (en el caso desde el 24 de mayo al 9 de julio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28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(LEC) así como en los arts. 14.2 Ley 39/2015 y del art. 373.3 LEC y determina que la recurrente “yerra en el plazo en el que puede acceder a su contenido a efectos de la práctica de la notificación el cual es de diez días naturales desde la puesta a su disposición y ello por imperativo del art. 43 de la citada Ley 39/2015, de 1 de octubre, del Procedimiento Administrativo Común de las Administraciones Públicas”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 Inversiones Inmobiliarias Costa Sur S.L. — NIFB73258006.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24 de mayo de 2018 hasta el 09 de julio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EJH/00000090/2018”.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21 de junio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90-2018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medida suficiente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90-2018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