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529-2019, promovido por la entidad mercantil Lannemann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enero de 2019, tuvo entrada en el registro general de este Tribunal Constitucional un escrito de la procuradora doña Lourdes Fernández Luna Tamayo, en representación de la entidad Lanneman, S.L., por el que interpuso recurso de amparo contra el auto de 29 de octubre de 2018 del Juzgado de Primera Instancia núm. 84 de Madrid, que declaró no haber lugar a la nulidad de actuaciones instada por la ahora recurrente respecto del anuncio de publicación de subasta de una finca de la que aquélla era titular en el portal de subastas del “Boletín Oficial del Estado” (“BOE”).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curso del procedimiento de ejecución de títulos judiciales núm. 1134-2011, seguido ante el Juzgado de Primera Instancia núm. 84 de Madrid, fue dictado un decreto de 27 de julio de 2017, por el que el letrado de la administración de justicia de dicho juzgado acordó sacar a subasta electrónica la finca núm. 36.385 (sic), inscrita a favor de la entidad Lannemamn, S.L., en el registro de la propiedad de Valdemoro (Madrid). En la citada resolución se hacía una descripción del inmueble. Este decreto fue posteriormente aclarado por otro posterior del 4 de septiembre siguiente, que subsanó la numeración de la finca registral en el sentido de que el número correcto era el “36.835”.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Firme el anterior decreto, con fecha 6 de abril de 2018, el juzgado, por medio de diligencia de ordenación, acordó proceder al anuncio y consiguiente publicidad de la subasta, dándola de alta en el portal de subastas del “Boletín Oficial del Estado”. Para ello, remitió edicto que incluía las condiciones generales y particulares de la subasta y de los bienes a subastar. El edicto, que llevaba fecha del día 7 de mayo siguiente, fue publicado en el portal de subastas electrónicas del “BOE” con la identificación “subasta-sub-ja-2018-97427”. En el anuncio se hacía mención a que la finca tenía la condición de “local comercial” y no de “solar”, que, en el criterio de la parte ahora recurrente, era lo que procedía.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la vista del error advertido, en fecha 30 de mayo de 2018, la parte ahora demandante de amparo presentó un escrito en el que solicitaba del juzgado que declarase “la nulidad del anuncio de la subasta” en el mencionado portal de subastas, así como la retroacción de las actuaciones y la procedencia de insertar nuevamente el anuncio, de modo correcto, en “la categoría de solares”, con comienzo de un nuevo plazo para la presentación de posturas.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anterior solicitud fue contestada por diligencia de ordenación del juzgado de 2 de julio de 2018 por la que declaró “no haber lugar a acordar la nulidad de la subasta electrónica solicitada por la parte ejecutada, quedando pendiente de dictar el decreto de aprobación del remate y/o adjudicación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la anterior diligencia de ordenación, la representación de la entidad Lanneman, S.L., formalizó recurso de reposición que fue estimado por medio de decreto de 18 de octubre de 2018, en el sentido de dejar sin efecto la anterior diligencia de ordenación, pero con la única mención de dar cuenta a la “Sra. magistrada de la solicitud de nulidad del anuncio de la subasta en el portal de subasta de la agencia estatal del ‘Boletín Oficial del Estado’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Finalmente, por medio de auto de 29 de octubre de 2018, el juzgado acordó no haber lugar “a declarar la nulidad de actuaciones interesada por Lanneman, S.L.”. Solicitada por esta parte la aclaración del mismo, el juzgado dictó un nuevo auto de 14 de diciembre de 2018, que desestimó la solicitud así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 resolución judicial impugnada ha incurrido en vulneración de su derecho a la tutela judicial efectiva (art. 24.1 CE) porque, en primer lugar, entiende que el juzgado ha acordado denegar su solicitud de declaración de nulidad de la subasta para subsanar el error advertido en el anuncio publicado en el portal de subastas del “BOE”, toda vez que la categoría asignada al inmueble objeto de licitación, la de “local comercial”, era errónea y debería haber sido corregida por la de “solar”, que era la que realmente correspondía al inmueble. Y, en segundo término, que el auto adolece de una sucinta argumentación que, a criterio de la parte recurrente, vulnera el derecho de la parte a obtener una resolución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“otrosí tercero digo”, la demanda solicita la suspensión del procedimiento de ejecución de títulos judiciales núm. 1134-2011 y, en particular, la de la subasta electrónica sobre el bien anteriormente referenciado, pues, según señala, el bien sólo se halla “pendiente de adjudicación y remate a favor del postor que planteó la puja más alta (la propia ejecutante) y ello por cuanto de seguirse con la adjudicación citada se estarían causando a mi mandante, en su condición de recurrente, perjuicios irreparables cuando podrá ver finalmente adjudicado su inmueble a favor de la ejecutante con el consiguiente acceso al registro de la propiedad, pudiendo dicha entidad proceder a su enajenación, gravamen o disposición, estando los terceros protegidos por la fe pública registral”. Subsidiariamente y de no accederse a la suspensión interesada, la parte solicita la medida cautelar “consistente en la anotación preventiva en el registro de la propiedad de la pendencia del presente recurso de amparo sobre la titularidad de la parcela subastada”.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2 de julio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núm. 84 de Madrid a fin de que, en plazo que no exceda de diez días, remita certificación o fotocopia adverada de las actuaciones correspondientes al procedimiento de ejecución de títulos judiciales núm. 1134-2011;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2 de julio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el día 11 de julio de 2019, insistiendo en su interés por que se acceda a lo solicitado en cuanto a la suspensión del procedimiento de ejecución hipotecaria referido y, de modo subsidiario, en que se acuerde la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formalizó su escrito de alegaciones en esta pieza el 18 de julio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56.1 LOTC y reproducir lo reiteradamente declarado en diferentes resoluciones por este Tribunal acerca de la necesidad de acreditar por el interesado la existencia de un perjuicio irreparable, para poder acordarse la suspensión de los actos impugnados en amparo, sostiene el fiscal que, en el presente caso, la parte actora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las medidas cautelares instadas, principal y subsidiariamente, por la parte recurrente en amparo y dirigidas frente al procedimiento de ejecución de títulos judiciales núm. 1134-2011, seguido en el Juzgado de Primera Instancia núm. 84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objeto de la subasta.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de títulos judiciales núm. 1134-2011, seguido en el Juzgado de Primera Instancia núm. 84 de Madrid.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