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104</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16 de septiembre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en el recurso de amparo núm. 1583-2019, promovido por Euroinversiones Inmobiliarias Costa Sur,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12 de marzo de 2019, tuvo entrada en el registro general de este Tribunal Constitucional un escrito de la procuradora doña Blanca Berriatua Horta, en representación de la entidad Euroinversiones Inmobiliarias Costa Sur, S.L., por el que interpuso recurso de amparo contra el auto de 12 de septiembre de 2018 del Juzgado de Primera Instancia e Instrucción núm. 6 de Lorca, que inadmitió el escrito de oposición a la ejecución hipotecaria promovida por Banco de Sabadell, S.A.; y contra el auto del mismo juzgado, de 18 de enero de 2019, que desestimó el recurso de reposición interpuesto contra la anterior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12 de septiembre de 2018, el juzgado de primera instancia e instrucción ya indicado dictó un auto en el procedimiento de ejecución hipotecaria núm. 46-2018 por el que acordó: “Inadmitir a trámite la oposición formulada por la parte ejecutada Euro Inversiones Inmobiliarias Costa Sur, S.L.”, advirtiendo en pie de recurso que contra dicha resolución cabía recurso de reposición.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basó su decisión, conforme a su fundamento de Derecho único, en lo siguiente: “Se establece en el artículo 134 de la Ley de enjuiciamiento civil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que ha sido el plazo que legalmente se le otorga, debe ser inadmitida su oposición por extemporánea, de conformidad con lo establecido en los preceptos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Formalizado contra dicho auto recurso de reposición por la entidad aquí demandante de amparo, el juzgado a quo dictó auto el 18 de enero de 2019 desestimándolo, con confirmación de la resolución recurrida, en virtud de los motivos expresados en su razonamiento jurídico segundo: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 2 a) de la Ley 39/2015 LPAAP y art. 273. 3 a)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Interpretan las recurrentes de forma errónea la normativa aplicable. Es cierto que la notificación por medios electrónicos efectivamente se realiza cuando el destinatario accede a su contenido. Ahora bien, hierran [sic] en el plazo en el que puede acceder a su contenido a efectos de la práctica de la notificación, el cual es de diez días naturales desde la puesta a su disposición y ello por imperativo de la [sic] art. 43 de la citada LPACAP (ley 30/15). Así dice el artículo 43. 2 de la citada Ley que ‘Las notificaciones por medios electrónicos se entenderán practicadas en el momento en que se produzca el acceso a su contenido. Cuando la notificación por medios electrónicos sea de carácter obligatorio, o haya sido expresamente elegida por el interesado, se entenderá rechazada cuando hayan transcurrido diez días naturales desde la puesta a disposición de la notificación sin que se acceda a su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consta que la notificación se puso a disposición de las recurrentes en fecha 23 de abril de 2018 no accediendo al contenido hasta el día 8 de junio (fuera de los diez días naturales), presentando los escritos de oposición a la ejecución en fecha 25 de junio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traía el siguiente pie de recurso: “Notifíquese esta resolución a las partes personadas, haciéndoles saber que es firme, y contra la misma no cabe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reconoce que si bien la recurrente, por ser una persona jurídica, viene por ello obligada a relacionarse con la administración de justicia a través de medios electrónicos, no obstante cuando es el primer emplazamiento y por tanto todavía aquella “no ha tenido ninguna relación con el juzgado correspondiente en este especial y concreto procedimiento”, ha de practicarse mediante cédula con entrega en papel de la documentación correspondiente, conforme establece el art. 273 LEC, en relación con los arts. 135, 152, 162 y 155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12 de septiembre de 2018 declaró extemporánea la presentación del escrito de oposición, computando el plazo de diez días desde la fecha de envío de aquel correo a través de la dirección electrónica habilitada.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el auto del 18 de enero de 2019 que desestimó la reposición, se rechaza por la recurrente que haya fundamentado su decisión en la Ley de procedimiento administrativo común, cuando normas concretas al respecto en la Ley de enjuiciamiento civil, de las que se extraen que el emplazamiento ha de hacerse a través de una notificación judicial, no por simple correo electrónico en este caso de la dirección electrónica habilitada.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se solicita que este Tribunal Constitucional, con estimación del amparo, acuerde la nulidad de ambas resoluciones judiciales y ordene reponer las actuaciones al momento previo al dictado de la primera de aquellas, a fin de que el juzgado a quo admita a trámite la oposición al despacho de ejecución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derivadas [sic]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46-2018 seguido ante el Juzgado de Primer Instancia e Instrucción número 6 de Lorca, hasta tanto sea resuelto el presente recurso de amparo, poniéndolo en conocimiento del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la Sección Cuarta de este Tribunal de 15 de marzo de 2019, se requirió al representante procesal de la recurrente para que aportara copia del auto de 12 de septiembre de 2018 impugnado en su recurso. Dicho requerimiento fue cumplimentado por escrito del indicado profesional, que tuvo entrada en nuestro registro el 29 de marzo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Sala Segunda, Sección Cuarta, de este Tribunal Constitucional, dictó providencia el 17 de junio de 2019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Cuarta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 así como que el recurso puede dar ocasión al Tribunal para aclarar o cambiar su doctrina, como consecuencia de cambios normativos relevantes para la configuración del contenido del derecho fundamental [STC 155/2009,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51 LOTC, diríjase atenta comunicación al Juzgado de Primera Instancia e Instrucción núm. 6 de Lorca a fin de que, en plazo que no exceda de diez días, remita certificación o fotocopia adverada de las actuaciones correspondientes al procedimiento de Ejecución Hipotecaria núm. 46-2018; debiendo previamente emplazarse, para que en el plazo de diez días puedan comparecer, si lo desean, en el recurso de amparo a quienes hubieran sido parte en el procedimiento, excepto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la solicitud de la parte actora, fórmese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nueva providencia dictada por la Sección Cuarta de este Tribunal en la misma fecha de la admisión del recurso, el 17 de junio de 2019,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la entidad recurrente presentó su escrito de alegaciones con fecha 25 de junio de 2019, interesando se acceda a lo solicitado en cuanto a la suspensión del procedimiento de ejecución hipotecaria referido.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tal efecto alega que la continuación de tal procedimiento, “con la celebración de subasta y la eventual adjudicación a terceros harían perder al recurso de amparo su finalidad y provocarían perjuicios patrimoniales para mi representada de imposible o difícil reparación”. Invoca a su favor lo resuelto por este Tribunal en su ATC 287/2013, de 16 de diciembre, reiterando a renglón seguido las vulneraciones constitucionales de fondo que aduce en su demanda, e indicando que el celebrarse la subasta y la posible adjudicación del bien inmueble a terceros de buena fe, con “desposesión del bien ejecutado, conllevaría a situaciones irreversibles, con un inevitable perjuicio para mi representada”.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su parte, el fiscal ante este Tribunal Constitucional formalizó su escrito de alegaciones en esta pieza el 4 de julio de 2019, interesando que adoptemos únicamente la medida de anotación preventiva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cita del art. 56.2 de la Ley Orgánica de este Tribunal (LOTC) y reproducir lo declarado en el ATC 127/2015, de 20 de julio (cita por error 27 de julio), FJ 1, en relación con la necesidad de acreditar por el interesado la existencia de un perjuicio irreparable, para poder acordarse la suspensión de los actos impugnados en amparo, sostiene el fiscal que en el presente caso, la “suspensión solicitada comportaría la paralización del procedimiento ejecutivo que, por su propia naturaleza, goza de las características de celeridad y sumariedad pero, también es obvio que, de continuar el procedimiento este acabará con la subasta del bien hipotecado y con la eventual adjudicación a un tercero de buena fe lo que haría irreversible esa situación aun cuando el amparo solicitado prosperara. Para conseguir el efecto protector deseado por la recurrente y enervar los indeseados efectos de la paralización del procedimiento, se puede acordar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adquirente queda especialmente protegido por su buena fe en la adquisición”. Cita en apoyo de su petición el art. 56.3 LOTC, que permite al Tribunal adoptar toda medida que evite que el recurso de amparo pueda perder su finalidad, así como el ATC 2/2019, de 9 de enero,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Insiste finalmente en que es procedente la medida de anotación preventiva, pues de lo contrario “la tutela que pudiera otorgarse por este tribunal no sería completa si se deja abierta la posibilidad de que la finca sea transmitida a tercero de buena fe mientras se sustancia y resuelve el presente proceso de amparo, por lo que se interesa” su adopción.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46-2018 seguido en el Juzgado de Primera Instancia e Instrucción núm. 6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106/2017, de 17 de julio, FJ 3; 88/2018, de 17 de septiembre, FJ 5, y 2/2019, de 9 de enero, FJ 4, así como en el ATC 85/2019, de 15 de julio, a propósito de otro procedimiento hipotecario seguido ante el Juzgado núm. 3 de Lorca, donde se plantearon los mismos argumentos que aquí para solicitar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 [AATC 21/2018, de 5 de marzo, FJ 5, y 88/2018, de 17 de septiembre,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46-2018 seguido en el Juzgado de Primera Instancia e Instrucción núm. 6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septiembre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