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3.003/92 interpuesto PROMOCIONES URBANAS GUÍA, S.A., representada por el Procurador don Antonio Vicente-Arche Rodríguez y bajo la dirección del Letrado don Vicente Torralba Soriano, contra el Auto de 6 de noviembre de 1992, que declaró no haber lugar a admitir el recurso de casación interpuesto contra la Sentencia, de 20 de marzo de 1992, de la Sección Decimosexta de la Audiencia Provincial de Barcelona. Ha intervenido el Ministerio Fiscal y ha sido parte doña María Belén de Maqua y de Monteys, representada por el Procurador don Federico Pinilla Peco y bajo la dirección del Letrado don Juan Roca Ledesma.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 de diciembre de 1992, la representación procesal de PROMOCIONES URBANAS GUÍA, S.A., formuló demanda de amparo contra el Auto de 6 de noviembre de 1992, que declaró no haber lugar a admitir el recurso de casación interpuesto contra la Sentencia de 20 de marzo de 1992, de la Sección Decimosexta de la Audiencia Provincial de Barcelona, recaída en el rollo de apelación 314/91, procedente del juicio de retracto 266/88, del Juzgado de Primera Instancia núm. 2 de Arenys de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PROMOCIONES URBANAS GUÍA, S.A., preparó con fecha de 14 de abril de 1992, recurso de casación contra la Sentencia de 20 de marzo de 1992, de la Sección Decimosexta de la Audiencia Provincial de Barcelona, recaída en el rollo de apelación 314/91, del juicio de retracto 266/88, del Juzgado de Primera Instancia núm. 2 de Arenys de Mar, que fue tenido por preparado por providencia de 27 de abril de 1992. </w:t>
      </w:r>
    </w:p>
    <w:p w:rsidRPr="00C21FFE" w:rsidR="00F31FAF" w:rsidRDefault="00356547">
      <w:pPr>
        <w:rPr/>
      </w:pPr>
      <w:r w:rsidRPr="&lt;w:rPr xmlns:w=&quot;http://schemas.openxmlformats.org/wordprocessingml/2006/main&quot;&gt;&lt;w:lang w:val=&quot;es-ES_tradnl&quot; /&gt;&lt;/w:rPr&gt;">
        <w:rPr/>
        <w:t xml:space="preserve">b) Dentro del plazo concedido al efecto, la demandante en amparo por escrito de 11 de junio de 1992, formalizó o interpuso el recurso de casación ante la Sala Primera del Tribunal Supremo, y ésta tras la oportuna tramitación dictó Auto el 6 de noviembre de 1992, notificado el 12 de noviembre, por el que acordó no haber lugar a admitir el recurso. </w:t>
      </w:r>
    </w:p>
    <w:p w:rsidRPr="00C21FFE" w:rsidR="00F31FAF" w:rsidRDefault="00356547">
      <w:pPr>
        <w:rPr/>
      </w:pPr>
      <w:r w:rsidRPr="&lt;w:rPr xmlns:w=&quot;http://schemas.openxmlformats.org/wordprocessingml/2006/main&quot;&gt;&lt;w:lang w:val=&quot;es-ES_tradnl&quot; /&gt;&lt;/w:rPr&gt;">
        <w:rPr/>
        <w:t xml:space="preserve">La inadmisión se fundó en que siendo la cuantía del pleito, fijada expresamente en la demanda y aceptada en la contestación, la de 3.104.000 pesetas, atendida la fecha de interposición del recurso, posterior a la entrada en vigor de la Ley 10/1992, conforme a su Disposición transitoria segunda el pleito no alcanzaba el nuevo límite de los seis millones de pesetas que permite 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la vulneración del derecho a la tutela judicial efectiva del art. 24.1 C.E., por cuanto que el Tribunal Supremo ha realizado una interpretación restrictiva de los requisitos procesales para acceder al recurso de casación. Esta interpretación restrictiva aparece referida a dos aspectos diferenciados,aunque ambos conexos con la cuantía. </w:t>
      </w:r>
    </w:p>
    <w:p w:rsidRPr="00C21FFE" w:rsidR="00F31FAF" w:rsidRDefault="00356547">
      <w:pPr>
        <w:rPr/>
      </w:pPr>
      <w:r w:rsidRPr="&lt;w:rPr xmlns:w=&quot;http://schemas.openxmlformats.org/wordprocessingml/2006/main&quot;&gt;&lt;w:lang w:val=&quot;es-ES_tradnl&quot; /&gt;&lt;/w:rPr&gt;">
        <w:rPr/>
        <w:t xml:space="preserve">En primer lugar, aunque el demandante fijó la cuantía del pleito en 3.104.000 pesetas y ésta fue aceptada por la parte demandada (hoy recurrente en amparo) en su contestación a la demanda, la finca objeto del litigio, en el momento de interponerse la demanda tenía una valoración fiscal muy superior a lo señalado, al rebasar los 9.000.000 pesetas (según se acredita por los recibos de contribución territorial y plusvalía). Por ello, considera que en aplicación de lo dispuesto en el art. 489.1ª L.E.C., la cuantía del juicio no podía ser inferior a dicho valor fiscal, pese a que las partes no se hubiesen ajustado a él, y el Tribunal Supremo debió tenerlo en cuenta, conforme al art. 489-1ª L.E.C., a efectos casacionales. </w:t>
      </w:r>
    </w:p>
    <w:p w:rsidRPr="00C21FFE" w:rsidR="00F31FAF" w:rsidRDefault="00356547">
      <w:pPr>
        <w:rPr/>
      </w:pPr>
      <w:r w:rsidRPr="&lt;w:rPr xmlns:w=&quot;http://schemas.openxmlformats.org/wordprocessingml/2006/main&quot;&gt;&lt;w:lang w:val=&quot;es-ES_tradnl&quot; /&gt;&lt;/w:rPr&gt;">
        <w:rPr/>
        <w:t xml:space="preserve">En segundo término, estima la recurrente que el Tribunal ha procedido a interpretar de forma restrictiva la Disposición transitoria segunda de la Ley 10/1992, al entender que la expresión "el momento de la interposición del recurso" no es asimilable al momento en que se presenta el escrito de formalización del mismo, sino al momento en que comienza el plazo para su formalización.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mayo de 1993, la Sección Tercera acordó conceder un plazo de diez días para alegaciones sobre la posible carencia de contenido constitucional de la demanda [art. 50.1 c) LOTC], que tras ser cumplimentado por la recurrente y por el Ministerio Fiscal determinó la providencia de 19 de julio de 1993, que acordó admitir a trámite el presente recurso y tener por parte al Procurador comparecido en nombre de la recurrente y, de conformidad con el art. 51 LOTC, requirió a la Sala Primera del Tribunal Supremo y a la Sección Decimosexta de la Audiencia Provincial de Barcelona para que remitiesen testimonio de las actuaciones correspondientes al recurso 1.919/92 y al rollo de apelación 314/91;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19 de agosto de 1993, y tras la sustanciación de la oportuna pieza separada, se acordó la suspensión de la ejecución de la Sentencia impugnada en casación, solicitada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octubre de 1993, se acordó tener por recibidas las actuaciones solicitadas, y dar vista de las actuaciones a la recurrente, y al Ministerio Fiscal para que en el plazo común de veinte días pudieran presentar las alegaciones que estimaran procedentes. Igualmente, por providencia de 16 de diciembre de 1993 se acordó tener por personado y parte al Procurador don Federico Pinilla Seco, en nombre de doña María Belén de Maqua y de Monteys, y darle vista de las actuaciones recibidas para que pudiera presentar las alegaciones pertinentes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8 de noviembre de 1993, la recurrente formuló sus alegaciones en las que, en síntesis, insistió en los argumentos expuestos en la demanda. Entiende que conforme al art. 489.1ª L.E.C., la cuantía del pleito a considerar por el Tribunal Supremo debía ser la fijada, a efectos fiscales, para el inmueble litigioso, superior a los seis millones. De otra parte, considera que el Tribunal Supremo realizó una interpretación restrictiva de las normas procesales contrarias al art. 24 C.E., pues, cuando comenzó el plazo para interponer el recurso estaba vigente la legislación anterior, conforme a la cual la casación era perfectamente procedente en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su escrito de alegaciones registrado el 16 de noviembre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Pr="00C21FFE" w:rsidR="00F31FAF" w:rsidRDefault="00356547">
      <w:pPr>
        <w:rPr/>
      </w:pPr>
      <w:r w:rsidRPr="&lt;w:rPr xmlns:w=&quot;http://schemas.openxmlformats.org/wordprocessingml/2006/main&quot;&gt;&lt;w:lang w:val=&quot;es-ES_tradnl&quot; /&gt;&lt;/w:rPr&gt;">
        <w:rPr/>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aquélla no utiliza los conceptos jurídicos técnicos de preparación o formalización, sino el más genérico de interposición que admite una interpretación dual. De cualquier forma esta norma seguida para la resolución de inadmisión se refuerza con la Disposición transitoria sexta del Real Decreto de 3 de febrero de 1881. </w:t>
      </w:r>
    </w:p>
    <w:p w:rsidRPr="00C21FFE" w:rsidR="00F31FAF" w:rsidRDefault="00356547">
      <w:pPr>
        <w:rPr/>
      </w:pPr>
      <w:r w:rsidRPr="&lt;w:rPr xmlns:w=&quot;http://schemas.openxmlformats.org/wordprocessingml/2006/main&quot;&gt;&lt;w:lang w:val=&quot;es-ES_tradnl&quot; /&gt;&lt;/w:rPr&gt;">
        <w:rPr/>
        <w:t xml:space="preserve">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Pr="00C21FFE" w:rsidR="00F31FAF" w:rsidRDefault="00356547">
      <w:pPr>
        <w:rPr/>
      </w:pPr>
      <w:r w:rsidRPr="&lt;w:rPr xmlns:w=&quot;http://schemas.openxmlformats.org/wordprocessingml/2006/main&quot;&gt;&lt;w:lang w:val=&quot;es-ES_tradnl&quot; /&gt;&lt;/w:rPr&gt;">
        <w:rPr/>
        <w:t xml:space="preserve">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y que la vacacio legis fue de tal duración que solucionó todos los posibles problemas que se pudieron plantear, mientras la Ley 10/1992 entró en vigor al día siguiente de su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La solución del Auto recurrido en amparo pasa, pues,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aquélla a efectos de aplicación de normativa. </w:t>
      </w:r>
    </w:p>
    <w:p w:rsidRPr="00C21FFE" w:rsidR="00F31FAF" w:rsidRDefault="00356547">
      <w:pPr>
        <w:rPr/>
      </w:pPr>
      <w:r w:rsidRPr="&lt;w:rPr xmlns:w=&quot;http://schemas.openxmlformats.org/wordprocessingml/2006/main&quot;&gt;&lt;w:lang w:val=&quot;es-ES_tradnl&quot; /&gt;&lt;/w:rPr&gt;">
        <w:rPr/>
        <w:t xml:space="preserve">El recurso de casación es uno en todas sus fases y por lo tanto tiene que ser regulado por una misma normativa. Es un único proceso impugnatorio y no es posible sin desnaturalizarlo regular una fase por una norma y otra fase del mismo por otra que pueden corresponder a filosofías y a supuestos distintos. El recurso es unitario tanto en su fundamento como en la finalidad que persigue por lo que la norma que lo regula tiene que ser la misma respecto a los supuestos de admisión. La Disposición transitoria tiene que ser entendida de acuerdo con la naturaleza del recurso para evitar su pérdida como consecuencia de algo tan arbitrario como la diligencia o falta de ella en la notificación de una sentencia o tener por preparado el recurso e incluso la posibilidad de que un mismo recurso de casación sea admitido para un recurrente y no para otro dependiendo de la fecha de notificación de la resolución judicial que lo tiene por preparado. Estas consecuencias crean inseguridad derivada de una falta de lógica en la interpretación por el Tribunal Supremo de la Disposición transitoria. El Tribunal Supremo interpretó, al aplicar las Disposiciones transitorias de la Ley 36/1984, la palabra INTERPOSICIÓN comprensiva de la preparación y la formalización confirmando el carácter unitario del recurso y ahora realiza una interpretación contraria, lo que atenta contra la lógica y la coherencia. </w:t>
      </w:r>
    </w:p>
    <w:p w:rsidRPr="00C21FFE" w:rsidR="00F31FAF" w:rsidRDefault="00356547">
      <w:pPr>
        <w:rPr/>
      </w:pPr>
      <w:r w:rsidRPr="&lt;w:rPr xmlns:w=&quot;http://schemas.openxmlformats.org/wordprocessingml/2006/main&quot;&gt;&lt;w:lang w:val=&quot;es-ES_tradnl&quot; /&gt;&lt;/w:rPr&gt;">
        <w:rPr/>
        <w:t xml:space="preserve">La unidad de tramitación del recurso de casación imposibilita, a riesgo de distorsionar el proceso, que sean distintas las normas aplicables a la preparación y a la interposición del recurso de los que se deduce que la instancia casacional se inicia en el momento de la preparación por lo que pendiente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w:t>
      </w:r>
    </w:p>
    <w:p w:rsidRPr="00C21FFE" w:rsidR="00F31FAF" w:rsidRDefault="00356547">
      <w:pPr>
        <w:rPr/>
      </w:pPr>
      <w:r w:rsidRPr="&lt;w:rPr xmlns:w=&quot;http://schemas.openxmlformats.org/wordprocessingml/2006/main&quot;&gt;&lt;w:lang w:val=&quot;es-ES_tradnl&quot; /&gt;&lt;/w:rPr&gt;">
        <w:rPr/>
        <w:t xml:space="preserve">De otra parte la norma transitoria no impone a los Tribunales la obligación de aplicarla sino que, al emplear la palabra PODRA, permite que éstos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Pr="00C21FFE" w:rsidR="00F31FAF" w:rsidRDefault="00356547">
      <w:pPr>
        <w:rPr/>
      </w:pPr>
      <w:r w:rsidRPr="&lt;w:rPr xmlns:w=&quot;http://schemas.openxmlformats.org/wordprocessingml/2006/main&quot;&gt;&lt;w:lang w:val=&quot;es-ES_tradnl&quot; /&gt;&lt;/w:rPr&gt;">
        <w:rPr/>
        <w:t xml:space="preserve">El resumen final supone constatar la lesión constitucional por la inadmisión del recurso debido a una interpretación de la norma de conflicto no adecuada al caso planteado por ser contraria a la efectividad del derecho fundamental de acceso al recurso. En base a todo ello, el Fiscal interesa que se conceda el amparo solicitado por vulnerar el Auto recurrido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doña María Belén de Maqua y de Monteys, presentó sus alegaciones el 19 de enero de 1994, en las que se opuso a la estimación del recurso, al no existir la vulneración del derecho fundamental invocado, pues la Disposición transitoria segunda de la Ley 10/1992 permite la interpretación seguida por el Tribunal Supremo y además, la cuantía del pleito fue la de 3.104.000 pesetas, que es el precio del retracto ejercitado.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1994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Entiende el recurrente que la aplicación de la Disposición transitoria segunda de la Ley 10/1992 que ha realizado la Sala Primera del Tribunal Supremo en el Auto recurrido, ha vulnerado el derecho a la tutela judicial efectiva, en su vertiente de</w:t>
      </w:r>
    </w:p>
    <w:p w:rsidRPr="00C21FFE" w:rsidR="00F31FAF" w:rsidRDefault="00356547">
      <w:pPr>
        <w:rPr/>
      </w:pPr>
      <w:r w:rsidRPr="&lt;w:rPr xmlns:w=&quot;http://schemas.openxmlformats.org/wordprocessingml/2006/main&quot;&gt;&lt;w:lang w:val=&quot;es-ES_tradnl&quot; /&gt;&lt;/w:rPr&gt;">
        <w:rPr/>
        <w:t xml:space="preserve">derecho de acceso a los recursos legalmente establecidos, reconocido en el art. 24 C.E.  al haber atendido para la admisión del recurso a los nuevos límites de la casación establecida por la Ley 10/1992, en lugar de a los que estaban vigentes en el</w:t>
      </w:r>
    </w:p>
    <w:p w:rsidRPr="00C21FFE" w:rsidR="00F31FAF" w:rsidRDefault="00356547">
      <w:pPr>
        <w:rPr/>
      </w:pPr>
      <w:r w:rsidRPr="&lt;w:rPr xmlns:w=&quot;http://schemas.openxmlformats.org/wordprocessingml/2006/main&quot;&gt;&lt;w:lang w:val=&quot;es-ES_tradnl&quot; /&gt;&lt;/w:rPr&gt;">
        <w:rPr/>
        <w:t xml:space="preserve">momento de la preparación del recurso.</w:t>
      </w:r>
    </w:p>
    <w:p w:rsidRPr="00C21FFE" w:rsidR="00F31FAF" w:rsidRDefault="00356547">
      <w:pPr>
        <w:rPr/>
      </w:pPr>
      <w:r w:rsidRPr="&lt;w:rPr xmlns:w=&quot;http://schemas.openxmlformats.org/wordprocessingml/2006/main&quot;&gt;&lt;w:lang w:val=&quot;es-ES_tradnl&quot; /&gt;&lt;/w:rPr&gt;">
        <w:rPr/>
        <w:t xml:space="preserve">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con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