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122</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28 de octubre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2778-2018, promovido por la entidad Majefrisa, S.A., contra la providencia de 11 de abril de 2018, dictada por el Juzgado de Primera Instancia e Instrucción núm. 2 de Ciudad Rodrigo, recaída en el procedimiento monitorio núm. 174-2017, que inadmitió el incidente de nulidad de actuaciones promovido por la actora contra todas las resoluciones anteriores, recaídas en el procedimiento monitorio de referencia. Se ha personado en las actuaciones la entidad Asociación Organización Interprofesional Agroalimentaria de la Carne de Vacuno-Provacuno.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18 de mayo de 2018, el procurador de los tribunales don Luciano Rosch Nadal, en representación de Majefrisa, S.A., interpuso recurso de amparo contra la resolución referida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este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31 de julio de 2017 la entidad Asociación Organización Interprofesional Agroalimentaria de la Carne de Vacuno-Provacuno presentó solicitud de procedimiento monitorio contra la entidad ahora recurrente de amparo reclamando el pago de la cantidad de 18.076,19 €.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diligencia de ordenación de 31 de octubre de 2017, el letrado de la administración de justicia del Juzgado de Primera Instancia e Instrucción núm. 2 de Ciudad Rodrigo (Salamanca), tras considerar que la solicitud presentada cumplía con los requisitos legales necesarios para ser sustanciada por los trámites del procedimiento monitorio, acordó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“Requerir a la parte deudora, Majefrisa S.A., a través de la sede judicial electrónica, para que en el plazo de veinte días pague al peticionario acreedor la cantidad de 18.076,19 €, acreditándolo ante este órgano, o comparezca ante el mismo alegando de forma fundada y motivada en escrito de oposición las razones por las que, a su entender, no deben en todo o en parte, la cantidad reclamada”.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certificación emitida en fecha 17 de diciembre de 2017 por el soporte del servicio de notificaciones electrónicas y dirección electrónica habilitada el requerimiento fue enviado en fecha 1 de noviembre de 2017, a las 3:59 horas, produciéndose el rechazo automático de la notificación el día 17 de diciembre de 2017, a las 00:00 horas. La certificación emitida contiene la siguiente aclaración: “el rechazo automático se produce, de forma general, tras haber transcurrido diez días naturales desde su puesta a disposición para su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decreto de 30 de enero de 2018, el letrado de la administración de justicia, constatando que había transcurrido el plazo otorgado sin que el demandado hubiera comparecido ni presentado escrito de oposición, como tampoco acreditado el abono de la cantidad adecuada, dispuso, de acuerdo con lo previsto en el art. 816 de la Ley de enjuiciamiento civil (LEC), el archivo del procedimiento monitorio y el traslado al acreedor “a fin de que presente demanda de ejecución, en el caso de que desee proceder al despacho de la misma”. Esta resolución fue declarada firme en diligencia de ordenación de 12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notificación del decreto de 30 de enero de 2018 también fue realizada, en fecha 1 de febrero de 2018, a través de la dirección electrónica habilitada, siendo aceptada por la ahora recurrente de amparo el día 16 de marzo de 2018, cuando ya había sido declarado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medio de escrito presentado el día 21 de marzo de 2018, la ahora demandante de amparo, alegando haber tenido conocimiento del procedimiento monitorio al aceptar, el 16 de marzo de 2018, la notificación del decreto de 30 de enero de 2018, compareció en el procedimiento promoviendo incidente de nulidad de actuaciones. Afirma en este escrito que no ha tenido constancia de haber sido emplazada “en su domicilio social ni mediante edictos”, razón por la cual “todo el procedimiento se ha seguido inaudita parte”. Alega que “[d]icha forma de proceder del juzgado vulnera los arts. 155 LEC y 165 LEC, entre otros preceptos de dicho cuerpo legal, ocasionándole indefensión por vulneración del derecho fundamental a la tutela judicial efectiva reconocido en art. 24 de la Constitución española, debido a que se ha privado a mi mandante de todas las facultades y derechos que se recogen en la normativa que regula el procedimiento monitorio, en especial la de oponerse a la demanda monitoria”.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Dada cuenta por el letrado de la administración de justicia de la solicitud de nulidad de actuaciones en diligencia de ordenación de 11 de abril de 2018, la titular del Juzgado de Primera Instancia e Instrucción núm. 2 de Ciudad Rodrigo dictó providencia de la misma fecha inadmitiendo el incidente planteado con la argumentación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cuenta. Presentado por el procurador […] en nombre de la mercantil Majefrisa, S.A., escrito promoviendo nulidad de actuaciones por falta de notificación y requerimiento a la misma, visto el estado de las presentes actuaciones, resulta lo siguiente: que con fecha 31/10/2017 y recepción en destino 17/11/2017 se notificó el procedimiento y requirió mediante la oportuna cédula en legal forma citada empresa; que con fecha 31/01/2018 se notifica a Majefrisa mediante Lexnet el decreto de 20/01/2018 que pone fin al procedimiento, con fecha de recepción en destino 01/02/2018; y que el 13/03/2018 se notifica a la empresa antes citada la resolución de firmeza de la anterior y archivo del procedimiento, con recepción en destino el 15/03/2018.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establece el art. 162.2 de la Ley de Enjuiciamiento Civil ‘[…] cuando constando la correcta remisión del acto de comunicación por dichos medios técnicos […] transcurrieran tres días sin que el destinatario acceda a su contenido, se entenderá que la comunicación ha sido efectuada legalmente desplegando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todo lo anterior y de acuerdo con lo establecido en el art. 228 in fine de la LEC, se inadmite la solicitud de nulidad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entidad recurrente considera que ha sufrido una situación de indefensión, proscrita en el art. 24.1 CE, como consecuencia de la diligencia de ordenación de 31 de octubre de 2017, que acordó el emplazamiento a través de la dirección electrónica habilitada. Según alega, dicha resolución infringió lo previsto en el art. 155 LEC, que sigue disponiendo la remisión de cédula de emplazamiento al domicilio de las partes que aún no estén personadas. Añade que la infracción de aquella formalidad procesal dio lugar a la tramitación del procedimiento inaudita parte, ocasionándole una situación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parecer de la parte actora el asunto que plantea tiene especial trascendencia constitucional, con arreglo a la letra g) del fundamento jurídico 2 de la STC 155/2009, de 25 de junio, pues “la normativa actualmente vigente” impone “a las personas jurídicas y a otros sujetos” la obligación de “intervenir a través de medios electrónicos con la administración de justicia (art. 273.3 LEC)”, planteando la cuestión de si el emplazamiento inicial ha de ser practicado a través de sede electrónica judicial o en el domicilio “con la notificación íntegra de la resolución judicial y de la demanda”. Esta cuestión tiene, según añade la actora, “especial repercusión económica”, pues el tejido empresarial español se caracteriza por la abundancia de “pequeñas y medianas empresas en que el grado de implantación de las nuevas tecnologías no se ha desarrollado al mismo ritmo que en las grandes empresas, sencillamente porque aquellas no tienen los mismos recursos económicos que estas últimas para que se desarrolle dicha implantación, con el consiguiente desfase que ello 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Pide, finalmente, la demandante que se declare la vulneración de su derecho a la tutela judicial efectiva, en su vertiente de prohibición de indefensión recogido en el art. 24 CE, se declare la nulidad de todas las actuaciones judiciales desde la diligencia de ordenación de 31 de octubre de 2017 y se retrotraigan las actuaciones al momento inmediatamente anterior a dicha resolución, a fin de que el juzgado dicte otra en su lugar que sea respetuosa con 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17 de junio de 2019, la Sección Cuarta de este Tribunal acordó la admisión a trámite de la demanda de amparo presentada, “apreciando que concurre en el mismo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En aplicación de lo dispuesto en el art. 51 LOTC, se acordó dirigir atenta comunicación al Juzgado de Primera Instancia e Instrucción núm. 2 de Ciudad Rodrigo a fin de que procediese a emplazar a quienes hubieran sido parte en el procedimiento, a excepción de la parte recurrente en amparo, para que en el plazo de diez días pudiesen comparecer, si lo deseaban,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Cuarta de este Tribunal de fecha 12 de julio de 2019, se acordó tener por personado y parte en el procedimiento al procurador don Marcelino Bartolomé Carretas, en nombre y representación de la “Asociación Organización Interprofesional Agroalimentaria de Carne de Vacuno–Provacuno”, ordenándose entender con él las sucesivas diligencias, y, con arreglo al art. 52 LOTC, conceder a las partes personadas y al Ministerio Fiscal el plazo común de veinte días para que, con vista de las actuaciones,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5 de septiembre de 2019 tuvieron entrada las alegaciones presentadas por la recurrente de amparo, en las que ratifica las formuladas en la propia demanda y añade que el asunto que plantea es “prácticamente idéntico” al resuelto en la STC 47/2019, de 8 abril, que “si bien se refiere a un procedimiento seguido ante la jurisdicción social, hace expresa mención a los artículos 155 y 273.3 LEC y a su aplicación” al primer emplazamiento del demandado cuando se trata de una persona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5 de septiembre de 2019 también tuvo entrada el escrito de alegaciones de la  Organización Interprofesional Agroalimentaria de la Carne de Vacuno-Provacuno, en el que interesa la desestimación de la demanda de amparo. La entidad comparecida reconoce, en primer lugar, que la doctrina fijada en la STC 47/2019, de 8 de abril, podría hacer pensar que se ha producido, en el caso ahora planteado, una vulneración análoga del art. 24.1 CE. Añade, no obstante, que existen razones que han de llevar a una resolución desestimatoria, en concreto las siguientes: (i) la demandante de amparo no fue diligente, ya que recibió el correo electrónico de emplazamiento en la sede judicial electrónica, ignorando esta comunicación, cuando debía haber estado “sobre aviso” acerca de ella al haber recibido previamente, en fecha 29 de junio de 2017, un burofax que, reclamando el pago de la deuda, advertía de la futura iniciación de un procedimiento monitorio; (ii) el asunto carece de la especial trascendencia invocada, ya que la parte considera “exagerado, muy exagerado” fijar la relevancia del asunto en “las repercusiones para el tráfico comercial y jurídico que tiene la notificación por medios telemáticos”, cuando, según argumenta, la utilización del correo electrónico ya tiene un “papel central” en la actividad empresarial española; (iii) la indefensión alegada no existe, no solo por la falta de diligencia de la actora, sino también porque fue emplazada a través de un medio, el correo electrónico, expresamente previsto en la Ley de enjuiciamiento civil para los actos de comunicación con las personas jurídicas (arts. 162 y 273.3 LEC), que permite “conocer perfectamente el contenido del acto” y que puede consultarse periódicamente, sin que esta obligación suponga, en modo alguno, “una gran carga”; (iv) la “justicia material” también aconseja la desestimación, ya que la presente demanda de amparo se inscribe, según se alega, en una estrategia deliberada tendente a obstaculizar el pago de facturas, estrategia que persiste, según añade la entidad alegante, en la actualidad.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6 de septiembre de 2019, tuvieron entrada en el registro general de este Tribunal las alegaciones del Ministerio Fiscal en las que interesa la estimación del amparo. Tras glosar el contenido de los preceptos legales aplicables (arts. 155 y 273 LEC) y exponer la doctrina fijada en las SSTC 6/2019 y 47/2019, el fiscal ante el Tribunal Constitucional concluye que “el juzgado de Ciudad Rodrigo no debió prescindir de la notificación personal, mucho más cuando le fue reclamada en el correspondiente incidente de nulidad, en el que lejos de solventar la vulneración reincidió en ella”. Entiende el fiscal que las normas que han dado lugar a declarar la violación del derecho de acceso al proceso en la STC 47/2019 son las generales de la Ley de enjuiciamiento civil que son aplicables al caso que nos ocupa, por lo que carece de relevancia que, en el supuesto resuelto en la referida sentencia, se tratase de un litigio entablado ante la jurisdicción social. Por ello, insiste en que “el juzgado de Ciudad Rodrigo erró al desconocer la aplicabilidad de los arts. 155 y 273 LEC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octubre de 2019,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planteamientos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la impugnación de la providencia de 11 de abril de 2018, dictada por el Juzgado de Primera Instancia e Instrucción núm. 2 de Ciudad Rodrigo, por la que se inadmitió a trámite el incidente de nulidad de actuaciones presentado por la entidad Majefrisa, S.A., la ahora demandante de amparo, en el seno del procedimiento monitorio núm. 174-2017. La demandante considera que ha resultado vulnerado su derecho a la tutela judicial efectiva (art. 24.1 CE), en su vertiente de derecho de acceso al proceso, pues, según afirma, no fue emplazada en la forma prescrita en la normativa procesal aplicable, razón por la cual sufrió una situación de indefensión que el órgano judicial consolidó al desatender en la providencia impugnada su solicitud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opone a ello la entidad Asociación Organización Interprofesional Agroalimentaria de la Carne de Vacuno-Provacuno (en adelante, Provacuno), que intervino en la vía judicial previa instando, como acreedora, el correspondiente procedimiento monitorio. Estima esta entidad que la ahora recurrente de amparo no actuó con la debida diligencia, al no comprobar periódicamente su cuenta de correo electrónico, especialmente cuando, según afirma, antes de la iniciación del procedimiento judicial fue requerida de pago a través de un burofax en el que se la advertía de la próxima iniciación de un procedimiento judicial para la reclamación de la deuda. Añade que la ahora actora desarrolla una estrategia puramente dilatoria para evitar el pago de deudas debidamente documentadas. Considera, asimismo, que el correo electrónico es un medio idóneo para tomar conocimiento de un pleito, por lo que en nada afecta a los derechos procesales de las partes que se utilice esta vía para llevar a cabo la primera citación o emplazamiento en un litigio. Argumenta, en todo caso, que el asunto planteado carece de la especial trascendencia constitucional que se alega en la demanda, pues esta incide en la repercusión económica de la cuestión jurídica controvertida (primer emplazamiento o citación en sede electrónica), a la vista del escaso desarrollo tecnológico de las pequeñas y medianas empresas españolas, ignorando que el correo electrónico es un medio que está ampliamente implantado en la vida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 comparecido el Ministerio Fiscal, que interesa la estimación de la demanda de amparo al considerar que resulta aplicable al presente supuesto la doctrina establecida en la STC 47/2019, de 8 de abril. Entiende el fiscal que los preceptos de la Ley de enjuiciamiento civil analizados entonces por este Tribunal, en un asunto atinente a la jurisdicción social, son los mismos que resultan directamente aplicables en el presente supuesto, relativo a un proceso sustanciado ante la jurisdicción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respuesta al óbice planteado por la representación de la entidad Provacuno hemos de adelantar ya que procede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Concurre, en todo caso, la exigible [art. 50.1 de la Ley Orgánica del Tribunal Constitucional (LOTC)] especial trascendencia constitucional. Así lo apreciamos en nuestra providencia de admisión de fecha 17 de junio de 2019, en la que señalamos que el presente asunto “puede dar ocasión al Tribunal para aclarar o cambiar su doctrina, como consecuencia de cambios normativos relevantes para la configuración del contenido del derecho fundamental [STC 155/2009, FJ 2 b)]”. Y, frente a lo alegado por la entidad Provacuno, hemos de recordar que la apreciación de la especial trascendencia constitucional pertenece al ámbito estricto de apreciación discrecional de este Tribunal, que no queda vinculado por las alegaciones que al efecto pueda realizar la parte demandante, a la que sólo compete cumplir con la carga argumentativa que sobre ella pesa (art. 49.1 LOTC). Por ello, las consideraciones efectuadas por Provacuno sobre la causa invocada por la actora en nada enervan lo ya apreciado en el trámite de admisión, especialmente a la vista de que la aludida sociedad reconoce la identidad del problema constitucional que ahora se plantea con el que motivó nuestra STC 47/2019, de 8 de abril, resolución esta que aún no había sido dictada cuando la presente demanda de amparo fue presentada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presente asunto permite extender la aplicación de la doctrina establecida en la citada STC 47/2019 al ámbito procesal donde los preceptos relativos al primer emplazamiento del demandado son directamente aplicables, esto es, a un litigio suscitado en el seno del propio orden jurisdiccional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y aplicación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47/2019, de 8 de abril, FFJJ 3 y 4, este Tribunal ha analizado el marco normativo establecido en la Ley reguladora de la jurisdicción social en relación con los actos de comunicación procesal. Al hacerlo, hemos constatado que dicha Ley se remite (art. 56 LJS), en cuanto a la utilización de medios electrónicos, a lo previsto con carácter general en la Ley de enjuiciamiento civil (LEC). Al analizar esta última hemos considerado, en línea con lo anticipado en la STC 6/2019, de 17 de enero, FJ 3, dictada por el Pleno de este Tribunal, que, si bien dicha ley procesal impone a la personas jurídicas la obligación general de comunicar con la administración de justicia a través de medios electrónicos [art. 273.3 a) LEC], el régimen jurídico específicamente aplicable al primer emplazamiento es el del art. 155.1, 2 y 3 LEC y del art. 273.4, párrafo 2, LEC, que exigen la “remisión al domicilio de los litigantes” (art. 155.1 LEC), estableciendo de forma específica, tanto la obligación de hacer constar en la demanda o en la petición o solicitud con la que se inicie el proceso “el domicilio del demandado, a efectos del primer emplazamiento o citación de este” (art. 155.2 LEC), como la de presentar en papel “los escritos y documentos que se presenten vía telemática o electrónica que den lugar al primer emplazamiento, citación o requerimiento del demandado” (art. 273.4, párrafo 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esta regulación, este Tribunal ha concluido en la citada STC 47/2019 —y así lo ha reiterado en su reciente STC 102/2019, de 16 de septiembre, FJ 2— que “no se ha de llevar a cabo por medios electrónicos la comunicación al demandado aún no personado en el procedimiento, en cuanto al acto de citación o emplazamiento, conforme a lo previsto en el art. 155.1 LEC, los cuales ‘se harán por remisión al domicilio de los litigantes’, regla que también opera en el proceso laboral (art. 53.1 LJS)”. Además, ha declarado que la ignorancia de esta excepción legal a la regla general de utilización de medios electrónicos puede producir la vulneración del derecho a la tutela judicial efectiva, en su dimensión de acceso al proceso, cuando, en los términos generales de nuestra doctrina, impide la adecuada constitución de la relación jurídica procesal, dando lugar a la tramitación del procedimiento inaudita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más, hemos de recordar, en este punto,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30/2014, de 24 de febrero, FJ 3, con expresa cita de la precedente STC 268/2000, de 13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 la doctrina aplicable, la interpretación de las normas de la Ley de enjuiciamiento civil, efectuada a la luz de la denunciada vulneración del derecho a la tutela judicial efectiva del art. 24.1 CE, por la STC 47/2019, de 8 de abril, opera cuando aquellos preceptos de la norma legal de referencia resultan directamente aplicables a un proceso civil. En el caso que nos ocupa, se trata de un procedimiento monitorio en el que el primer acto de comunicación con la parte identificada como deudora es el requerimiento de pago previsto en el art. 815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acto inicial, con las graves consecuencias legales que lleva aparejadas (en particular la posibilidad de instar un procedimiento ejecutivo para la exacción de la deuda), es equiparado en nuestra doctrina, a efectos de la diligencia exigible para la adecuada constitución de la relación jurídica procesal, al acto de emplazamiento inicial del demandado (STC 176/2009, de 16 de julio, FJ 3). El art. 815.1 LEC dispone, en este sentido, que el requerimiento de pago al deudor “se notificará en la forma prevista en el art. 161 de esta ley”, precepto que prevé, a su vez, que la “entrega al destinatario de la comunicación de la copia de la resolución o de la cédula se efectuará en la sede del tribunal o en el domicilio de la persona que deba ser notificada, requerida, citada o emplazada”. Por efecto del art. 155 LEC, al constituir este requerimiento de pago del procedimiento monitorio el primer acto de comunicación con el demandado no personado ni representado por procurador, no es posible acudir en este caso a la utilización de la dirección electrónica habilitada.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entender, por ello, que, en el caso que nos ocupa, el órgano judicial erró al utilizar la dirección electrónica habilitada para realizar el requerimiento de pago de la ahora recurrente, pues desconoció lo expresamente dispuesto en los arts. 155 y 161 LEC y el valor que el acto procesal previsto en el art. 815 LEC tiene a los efectos de la válida constitución de la relación jurídica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hemos de apreciar que esta infracción ha conllevado la vulneración del derecho de la entidad demandante a la tutela judicial efectiva (art. 24.1 CE), en su vertiente de acceso al proceso, al haber impedido a la entidad ahora actora comparecer en el procedimiento monitorio a efectos de hacer valer sus derechos. Hay que tener presente, a efectos de constatar esta vulneración,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providencia de 11 de abril de 2018, por la que se inadmitió el incidente de nulidad de actuaciones, no aportó argumento legal alguno acerca de la aplicabilidad, en el caso concreto, de la dirección electrónica habilitada e incluso obvió toda referencia a la utilización de este sistema. Tampoco señaló ninguna circunstancia que pudiera indicar que la entidad demandada no había actuado con la debida diligencia o que había tenido conocimiento extraprocesal del pleito, circunstancias que, de acuerdo con la doctrina ya transcrita, han de quedar, en todo caso, debidamente acreditadas.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entidad Provacuno alega, por su parte, la existencia de un burofax previo en el que, según se afirma, se habría advertido a la ahora demandante de amparo de la próxima utilización de un procedimiento judicial para reclamar la deuda. Considera, por ello, que la ahora recurrente debió cumplir con la mínima diligencia de estar “sobre aviso” y comprobar su correo electrónico periódicamente. No obstante, la circunstancia alegada (reclamación extrajudicial previa) es una práctica usual que en nada singulariza el presente caso y que no puede ser convertida en parámetro de diligencia debida sin desvirtuar el claro mandato del art. 155 LEC relativo a la forma de realización del primer emplazamiento; acto cuya trascendencia a efectos de constituir válidamente la relación jurídica procesal no necesita ser nuevamente subrayada.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Ninguna consideración cabe hacer, por otra parte, sobre la alegación de Provacuno relativa a la existencia de una estrategia dilatoria por parte de la ahora actora, pues este juicio de valor carece de soporte fáctico en los hechos que resultan de las actuaciones judiciales. Tampoco tiene relevancia que la precitada entidad considere que el correo electrónico es un medio que, en abstracto, permite tener conocimiento de la existencia de un proceso, pues la esencia de la doctrina que ahora aplicamos no se funda en la inidoneidad general del medio (electrónico) utilizado, sino en la vigencia de preceptos legales que excluyen la posibilidad de acudir al mismo para el acto de primera citación o emplazamiento, por la importancia que este acto reviste para la adecuada constitución de la relación jurídica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todo ello, declarar la nulidad de la resolución judicial impugnada y acordar la retroacción de las actuaciones hasta el momento procesal oportuno, a fin de que la tramitación del acto de requerimiento de pago del procedimiento monitorio se realice de forma respetuosa con el derecho fundamental a la tutela judicial efectiva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Majefrisa, S.A.,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la providencia de 11 de abril de 2018, dictada por el Juzgado de Primera Instancia e Instrucción núm. 2 de Ciudad Rodrigo, que inadmitió el incidente de nulidad de actuaciones interpuesto contra la diligencia de ordenación de 31 de octubre de 2017, cuya nulidad también se acuerda.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del procedimiento monitorio 174-2017 hasta el momento inmediatamente anterior al dictado de la diligencia de ordenación de 31 de octubre de 2017, a fin de que el requerimiento de pago se efectúe de manera respetuosa con el derecho fundamental así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octubre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