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28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1984-2019,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marzo de 2019, tuvo entrada en el registro general de este Tribunal Constitucional un escrito de la procuradora doña Blanca Berriatua Horta, en representación de la entidad Penrei Inversiones S.L., por el que interpuso recurso de amparo contra el auto de 17 de septiembre de 2018, del Juzgado de Primera Instancia e Instrucción núm. 6 de Lorca, que inadmitió el escrito de oposición a la ejecución hipotecaria promovida por Banco de Sabadell, S.A., y contra el auto del mismo juzgado, de 11 de febrero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17 de septiembre de 2018, el juzgado de primera instancia e instrucción ya indicado dictó un auto en el procedimiento de ejecución hipotecaria núm. 59-2018 por el que acordó: “Inadmitir a trámite la oposición formulada por la parte ejecutada Euro Inversiones Inmobiliarias Costa Sur, S.L., y Penrei Inversiones,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11 de febrero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de procedimiento administrativo común de las administraciones públicas y art. 273. 3 a) LEC]. Interpretan los recurrentes de forma errónea la normativa aplicable”. Se citan al respecto los arts. 162.2 LEC y 33.2 y 34 de la Ley 18/2011, de 5 de julio, reguladora del uso de las tecnologías de la información y la comunicación en la administración de justicia; el art. 11.2 del Real Decreto 1065/2015, de 27 de noviembre, sobre comunicaciones electrónicas en la administración de justicia en el ámbito territorial del Ministerio de Justicia y por el que se regula el sistema LexNet; y el acuerdo no jurisdiccional del Pleno de la Sala Cuarta del Tribunal Supremo, de 6 de julio de 2016. Tras ello el auto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30 de mayo de 2018 no accediendo al contenido hasta el día 15/ de julio de 2018 (fuera de los diez días naturales), presentando los escritos de oposición a la ejecución en fecha 24/7/2018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dando su interpretación sobre el alcance de las normas aplicables. Cita también las SSTC 326/1993, de 8 de noviembre, y la 131/2014, de 21 de julio, sobre el derecho a no padecer indefensión en materia de actos de comunicación. Concluye diciendo que la omisión correcta del primer emplazamiento le ha supuesto un perjuicio real y efectivo para ejercitar su defensa, por lo que procede declarar la nulidad de los actos posteriores al emplazamiento, debiendo volverse a practicarse este último. Insiste en que se ha producido una vulneración de los derechos fundamentales del art. 24 CE, en concreto el derecho a la defensa y a la asistencia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11 de febrero de 2019 que desestimó la reposición, se rechaza por la recurrente que haya fundamentado su decisión en la ley de procedimiento administrativo común, puesto que en cada uno de los órdenes jurisdiccionales existe una normativa propia en esta materia. Y rechaza que pueda fundarse la inadmisión, como indica el juzgado, en la interpretación que este hace de los preceptos que al efecto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59-2018 seguido ante el Juzgado de Primer Instancia e Instrucción número 6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 de abril de 2019, la Secretaría de Justicia de la Sección Cuarta, Sala Segunda, de este Tribunal, dictó diligencia de ordenación el por la que, de un lado, se tuvo por presentado el escrito de demanda pero se requirió a la representante procesal de la entidad recurrente para que en el plazo de diez días aportara copia del auto de 17 de septiembre de 2018 impugnado; y de otro lado, acordó dirigir atenta comunicación al Juzgado de Primera Instancia e Instrucción núm. 6 de Lorca, para que remitiera “certificación o fotocopia autorizada de las actuaciones correspondientes al procedimiento de ejecución hipotecaria núm. 59-2018”.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Constitucional, dictó providencia el 16 de septiembre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núm. 6 de Lorca a fin de que, en méritos a la ejecución hipotecaria núm. 59-2018, disponga lo necesario para que proceda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de la admisión del recurso, el 16 de septiembre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recurrente presentó su escrito de alegaciones con fecha 25 de septiembre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o en su caso fuera adjudicada a la propia demandante del procedimiento de ejecución hipotecaria,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la fiscal ante este Tribunal Constitucional formalizó su escrito de alegaciones en esta pieza el 3 de octubre de 2019,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reproducir lo declarado en el ATC 127/2015, de 20 de julio (cita por error 27 de julio), FJ 1, en relación con la necesidad de acreditar por el interesado la existencia de un perjuicio irreparable, para poder acordarse la suspensión de los actos impugnados en amparo, sostiene la fiscal que en el presente caso la recurrente solicita la suspensión “sin explicitar ninguna razón que permita afirmar que la continuación del procedimiento judicial incluso con desplazamiento posesorio, provoque un perjuicio determinante de la pérdida de la finalidad del recurso de amparo. No obstante,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59-2018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la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los AATC 85/2019, de 15 de julio, y 91/2019 a 94/2019, todos ellos del 18 de julio; a propósito de otros procedimientos hipotecarios seguidos ante el Juzgado núm. 3 de Lorca,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59-2018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