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25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5808-2018, promovido por Euroinversiones Inmobiliarias Costa Sur, S.L., en procedimiento de ejecución hipotecaria núm. 108-2018,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7 de noviembre de 2018, la entidad Euroinversiones Inmobiliarias Costa Sur, S.L., representada por la procuradora de los tribunales doña Blanca Berriatua Horta y bajo la dirección del letrado don Marcelino Gilabert Costa, interpuso recurso de amparo contra los autos dictados por el Juzgado de Primera Instancia e Instrucción núm. 3 de Lorca en el procedimiento de ejecución hipotecaria núm. 108-2018 en fechas 3 de julio y 26 de septiembre de 2018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108-2018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20 de abril de 2018 se acordó despachar ejecución frente las sociedades demandadas. El citado auto y el decreto de la misma fecha fueron comunicados a las citadas entidades a través de la sede judicial electrónica el día 26 de abril de 2018. El mismo día, el Servicio de Notificaciones Electrónicas de la Fábrica Nacional de Moneda y Timbre remitió a la demandante de amparo, a través de la dirección electrónica habilitada, una notificación del siguiente tenor: “[l]a Notificación estará disponible en su dirección electrónica habilitada única desde el 26 de abril de 2018 hasta el 11 de junio de 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demandante presentó escrito de oposición a la ejecución despachada, en fecha 25 de junio de 2018. Por auto de 3 de julio de 2018 se acordó su inadmisión por presentación extemporánea, al considerarse que había transcurrido el plazo de diez días previsto en el art. 695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26 de abril de 2018 sino el 11 de junio de 2018 y que la comunicación remitida a través de la dirección electrónica habilitada (DEH) no puede entenderse más que como un aviso de puesta a disposición o descarga de su contenido durante un plazo determinado (en el caso desde el 26 de abril al 11 de junio de 2018). De ahí que al haber accedido a dicha comunicación el día 11 de junio de 2018, es en ese día cuando debe entenderse efectuada la notificación. Y entenderlo de otro modo, además de infringir los arts. 135, 152, 160, 162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fue desestimado por auto de 26 de septiembre de 2018. Según consta en la indicada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a) de la Ley 39/2015 y 273.3 LEC. Según se afirma en la indicada resolución, “es cierto que la notificación por medios electrónicos efectivamente se realiza cuando el destinatario accede a su contenido. Ahora bien, hierran en el plazo en el que puede acceder a su contenido a efectos de la práctica de la notificación, el cual es de diez días naturales desde el puesta a su disposición y ello por imperativo del artículo 43.2 de la citada Ley de procedimiento administrativo común de las administraciones públicas (Ley 39/2015)”…“En el presente caso, consta que la notificación se puso a disposición de las recurrentes en fecha 26 de abril de 2018 no accediendo al contenido hasta el 11 de junio de 2018 (fuera de los diez días naturales), presentando los escritos de oposición a la ejecución en fecha 22 de junio de 2018, claramente fuera del plazo legalmente establecido en el art. 556.1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denuncia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y accedió al contenido de la notificación dentro del plazo establecido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afirma que el órgano judicial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octubre de 2019, la Sección Tercera de este Tribunal acordó admitir a trámite el recurso de amparo y dirigir comunicación al el Juzgado de Primera Instancia e Instrucción núm. 3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8 de noviembre de 2019, la parte demandante formuló sus alegaciones, en el cual reitera lo interesado en el otrosí de su demanda, con sustento en el ATC 287/2013, de 16 de diciembre, cuyo contenido parcialmente transcribe.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presentó sus alegaciones el 12 de noviembre del 2019. En síntesis, interesa que se acuerde la anotación preventiva de la demanda en el registro de la propiedad. Tras compendiar la doctrina constitucional relativa a la suspensión prevista en el art. 56 LOTC, sostiene que, si bien la medida a que alude no ha sido solicitada en el recurso de amparo, en el presente caso tampoco la petición de suspensión se fundamenta de manera suficiente por la parte recurrente. Además, considera más eficaz la anotación preventiva de la demanda en el registro de la propiedad, medida mediante la cual se daría publicidad a terceros de la pendencia del recurso y se evitaría que un hipotético tercer adquirente del inmueble hipotecado quede especialmente protegido por su buena fe en la adquisición.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108-2018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pues la medida idónea la anotación preventiva de la demanda en el registro de la propiedad.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el procedimiento se encuentra en la fase inicial una vez rechazada la oposición a la ejecución y que el inmueble sobre el que se sigue tal ejecución está constituido por una vivienda cuya situación posesoria no consta. En tales circunstancias, no es posible afirmar que la continuación del curso del procedimiento judicial, incluso con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 Esta misma ha sido la solución acogida recientemente,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108-2018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