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25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en el recuros de amparo núm. 2003-2019, promovido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mercantil Euroinversiones Inmobiliarias Costa Sur, S.L., representada por la procuradora de los tribunales doña Blanca Berriatua Horta, con asistencia letrada de don Marcelino Gilabert García, solicita la suspensión del proceso de ejecución hipotecaria núm. 57-2018 tramitado por el Juzgado de Primera Instancia e Instrucción núm. 6 de Lorca. Lo hace por otrosí en el escrito de 27 de marzo de 2019 por el que interpone recurso de amparo contra los autos de 17 de septiembre de 2018 y 11 de febrero del año siguiente recaídos en aquel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sobre la medida cautelar solicitada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6 de Lorca se sigue procedimiento de ejecución hipotecaria núm. 57-2018 promovido por la entidad Banco de Sabadell, S.A., frente a las sociedades Euroinversiones Inmobiliarias Costa Sur, S.L., en calidad de prestataria e hipotecante, y Penrei Inversiones, S.L., en calidad de titular del derecho uso del inmueble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Despachada ejecución por auto de 29 de mayo de 2018, las sociedades demandadas fueron requeridas y notificadas el 30 del mismo mes a través de la Sede Judicial Electrónica.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26 de julio de 2018, las sociedades demandadas formulan oposición a la ejecución despachada. Por auto de 17 de septiembre del mismo año fue inadmitida por extemporánea, tomando como fecha de notificación el 30 de mayo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ejecutada Euroinversiones Inmobiliarias Costa Sur, S.L., interpone recurso de reposición. Alega que las diligencias de notificación y requerimiento se realizaron el 15 de julio de 2018. La comunicación remitida a través de la dirección electrónica habilitada no sería más que un aviso de puesta a disposición o descarga de su contenido durante un plazo determinado. Entenderlo de otro modo vulneraría el art. 24 CE, además de los arts. 135, 152, 160, 162 de la Ley 1/2000, de 7 de enero,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fue desestimado por auto de 11 de febrero de 2019. El órgano judicial razona a la vista del art. 43 de la Ley 39/2015, de 1 de octubre, de procedimiento administrativo común, que la sociedad demandada contaba con diez días para acceder al contenido de la resolución y, con ello, para tenerse por notificada. En el presente caso, el 30 de mayo de 2018 la notificación estaba ya disponible. El escrito de oposición se formuló el 26 de julio y, por tanto, claramente fuera del plazo establecido en el art. 556.1 LEC (diez días desde la notificación del auto que despacha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atribuye a los autos impugnados la vulneración del derecho fundamental de la sociedad recurrente a la tutela judicial efectiva y a un proceso con garantías y sin indefensión (art. 24.1 y 2 CE). La interpretación de la legislación procesal, realizada a partir de una ley de procedimiento administrativo,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 solicita por otrosí la suspensión del proceso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septiembre de 2019, la Sección Segunda de este Tribunal acuerda admitir a trámite el recurso y dirigir comunicación al Juzgado de Primera Instancia e Instrucción núm. 6 de Lorca, a fin de que, en el plazo de diez días, remita certificación o fotocopia adveradas de las actuaciones correspondientes a los autos de ejecución hipotecaria y emplace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acuerda formar la oportuna pieza para la tramitación del incidente de suspensión y, conforme a lo dispuesto en el art. 56 de la Ley Orgánica del Tribunal Constitucional (LOTC), concede un plazo común de tres días a la parte recurrente y al ministerio fiscal para que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20 de septiembre de 2019, la demandante de amparo insiste en que la ejecución se ha despachado con vulneración de su derecho a la tutela judicial efectiva. Añade que la doctrina constitucional ha accedido a suspender ejecuciones hipotecarias en otros casos y que no hacerlo en el presente conduciría a situaciones irreversibles con inevitables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30 del mismo mes, el ministerio fiscal interesa que se acuerde la anotación preventiva de la demanda en el registro de la propiedad, por más que no haya sido solicitada. Tras exponer la doctrina constitucional sobre suspensión de resoluciones impugnadas, considera que, de no adoptarse la anotación preventiva de la demanda, la tutela que el Tribunal pudiera otorgar corre el riesgo de ser incompleta; dejaría abierta la posibilidad de que la finca sea transmitida a un tercero de buena fe mientras se sustancia y resuelve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Personada en las actuaciones principales la entidad Pera Assets Designated Activity Company, el secretario de justicia de la Sala Primera, mediante diligencia de ordenación de 21 de octubre de 2019, le concede un plazo de tres días para alegar en relación con la petición de suspensión interesada por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de 28 de octubre de 2019, la entidad Pera Assets Designated Activity Company, representada por la procuradora de los tribunales, doña Blanca María Grande Pesquero, afirma que Banco Sabadell le ha cedido el crédito hipotecario y que, en virtud del régimen de sucesión procesal, las actuaciones deben continuarse con ella. Tras ello se opone a la suspensión solicitada a la vista de la doctrina constitucional, la vaguedad de la petición formulada, la mala fe procesal demostrada y el no ofrecimiento de un principio razonable de prueba ni caución o fianza razonable.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resolver sobre la procedencia de la medida cautelar instada por la parte recurrente en amparo y dirigida frente al procedimiento de ejecución hipotecaria núm. 57-2018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se configura como una medida de carácter excepcional y de aplicación restrictiva (por todos, AATC 117/2015, de 6 de julio, FJ 1, y 59/2017, de 24 de abril, FJ 1).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Debe mostrar que la ejecución del acto recurrido puede privar a la demanda de amparo de su finalidad, provocando que el restablecimiento del recurrente en el derecho constitucional vulnerado sea tardío y convirtiendo en meramente ilusorio y nominal el amparo impetrado [AATC 51/1989, de 30 de enero, 144 290/1995, de 23 de octubre, 370/1996, de 16 de diciembre, 283/1999, de 29 de noviembre, 90/2014, de 27 de marzo, FJ 1; 190/2015, de 5 de noviembre, FJ 2 a); 59/2017, de 24 de abril, 146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150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expuesta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 situación,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lo reputa idóneo para evitar el perjuicio derivado de que la adquisición del bien por tercero lo haga irreivindicable. Esta ha sido la solución acogida recientemente, entre otros, en los AATC 2/2019, 178 de 9 de enero, 88/2018, de 17 de septiembre, y 106/2017,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188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192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57-2018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