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25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2004-2019, promovido por Euroinversiones Inmobiliarias Costa Sur, S.L., en procedimiento de ejecución hipotecaria núm. 50-2018,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marzo de 2019, la entidad Euroinversiones Inmobiliarias Costa Sur, S.L., representada por la procuradora de los tribunales doña Blanca Berriatua Horta y bajo la dirección del letrado don Marcelino Gilabert Costa, interpuso recurso de amparo contra los autos dictados por el Juzgado de Primera Instancia e Instrucción núm. 6 de Lorca en el procedimiento de ejecución hipotecaria núm. 50-2018 en fechas 17 de septiembre de 2018 y 11 de febrero de 2019,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6 de Lorca se sigue procedimiento de ejecución hipotecaria núm. 50-2018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29 de mayo de 2018 se acordó despachar ejecución frente las sociedades demandadas. El citado auto y el decreto de la misma fecha fueron comunicados a las citadas entidades a través de la Sede Judicial Electrónica el día 30 de mayo de 2018. El mismo día, el Servicio de Notificaciones Electrónicas de la Fábrica Nacional de Moneda y Timbre remitió a la demandante de amparo, a través de la dirección electrónica habilitada, una notificación del siguiente tenor: “[l]a Notificación estará disponible en su dirección electrónica habilitada única desde el 30 de mayo de 2018 hasta el 15 de julio de 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demandante presentó escrito de oposición a la ejecución despachada, en fecha 26 de julio de 2018. Por auto de 17 de septiembre de 2018 se acordó su inadmisión por presentación extemporánea, al considerarse que había transcurrido el plazo de diez días previsto en el art. 695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30 de mayo de 2018 sino el 15 de julio de 2018 y que la comunicación remitida a través de la dirección electrónica habilitada no puede entenderse más que como un aviso de puesta a disposición o descarga de su contenido durante un plazo determinado (en el caso desde el 26 de abril al 11 de junio de 2018). De ahí que, al haber accedido a dicha comunicación el día 15 de julio de 2018, es en ese día cuando debe entenderse efectuada la notificación. Y entenderlo de otro modo, además de infringir los arts. 135, 152, 160, 162 y 273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fue desestimado por auto de 11 de febrero de 2019. Según consta en la indicada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y 273.3 LEC. Añade que “[e]n el presente caso, consta que la notificación se puso a disposición de las recurrentes en fecha 30 de mayo de 2018 no accediendo al contenido hasta el 15 de julio de 2018 (fuera de los tres días siguientes que establece la normativa procesal), presentando los escritos de oposición a la ejecución en fecha 26 de julio de 2018, claramente fuera del plazo legalmente establecido en el art. 556.1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denuncia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y accedió al contenido de la notificación dentro del plazo establecido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afirma que el órgano judicial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octubre de 2019, la Sección Tercera de este Tribunal acordó admitir a trámite el recurso de amparo y dirigir comunicación al el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8 de noviembre de 2019, la parte demandante formuló sus alegaciones, en el cual reitera lo interesado en el otrosí de su demanda, con sustento en el ATC 287/2013, de 16 de diciembre, cuyo contenido parcialmente transcribe.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sus alegaciones el 12 de noviembre del 2019. En síntesis, interesa que se acuerde la anotación preventiva de la demanda en el registro de la propiedad. Tras compendiar la doctrina constitucional relativa a la suspensión prevista en el art. 56 LOTC, sostiene que, si bien la medida a la que alude no ha sido solicitada en el recurso de amparo, en el presente caso tampoco la petición de suspensión se fundamenta de manera suficiente por la parte recurrente. Además,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50-2018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pues la medida idónea es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50-2018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