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el 31 de octubre de 2019 por el Gobierno de la Nación en relación con los acuerdos de la mesa del Parlamento de Cataluña de 22 y 29 de octubre de 2019, referidos a la admisión de una propuesta de resolución “de respuesta a la sentencia del Tribunal Supremo sobre los hechos del primero de octubre”,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31 de octubre de 2019, el abogado del Estado, en representación del Gobierno de la Nación, promovió al amparo de los arts. 87 y 92 de la Ley Orgánica del Tribunal Constitucional (LOTC) incidente de ejecución de la STC 259/2015, de 2 de diciembre, y de las providencias de 10 y 16 de octubre de 2019, respecto del acuerdo de la mesa del Parlamento de Cataluña de 22 de octubre de 2019, por el que se admite una propuesta de resolución “de respuesta a la sentencia del Tribunal Supremo sobre los hechos del primero de octubre”, cuyo apartado undécimo contiene un inciso en el que literalmente se señala: “Por ello, reitera y reiterará tantas veces como lo deseen los diputados y las diputadas […] la defensa del derecho a la autodeterminación y la reivindicación de la soberanía del pueblo de Cataluña para decidir su futuro político”; y el acuerdo de la mesa de 29 de octubre de 2019 por el que se rechazan las solicitudes de reconsideración formuladas por varios grupos y subgrupos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argumentación contenida en el escrito del abogado del Estado, la admisión a trámite por la mesa del Parlamento de Cataluña de la referida propuesta de resolución, en lo que atañe al indicado inciso del apartado undécimo, incumple o contraviene los pronunciamientos de la STC 259/2015 y de las providencias de 10 y 16 de octubre de 2019, dictadas en los incidentes de ejecución promovidos por el Gobierno de la Nación en relación, respectivamente, con determinados incisos de los apartados I.1 y I.2 de la Resolución 534/XII y de los apartados I, I.1, I.2, I.3 y I.4 de la Resolución 546/XII,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5 de noviembre de 2019, publicada en el “Boletín Oficial del Estado” núm. 267, de 6 de noviembre,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los acuerdos de la mesa del Parlamento de Cataluña de 22 de octubre de 2019, por los que se admite una moción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 y el de 29 de octubre por el que se rechazan las solicitudes de reconsideración formuladas por varios grupos y subgrupos parlamentarios, por contravención de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invocado por el Gobierno de la Nación el artículo 161.2 de la Constitución, lo que, a su tenor, produce la suspensión de los mencionados acuerdos, en cuanto han calificado y admitido a trámite el inciso indicado del apartado undécimo de la referida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recibidos los documentos solicitados, se dará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 la diligencia de notificación y requerimiento realizada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5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noviembre de 2019, el mismo procurador, actuando en representación de doña Elsa Artadi Vila y treinta y un diputados más del Parlamento de Cataluña, interpuso recurso de súplica contra la misma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259/2015, de 2 de diciembre, y de las providencias de 10 y 16 de octubre de 2019, en relación con el acuerdo de la mesa del Parlamento de Cataluña de 22 de octubre de 2019, por el que se admite una propuesta de resolución cuyo apartado undécimo contiene un inciso en el que se señala: “Por ello, reitera y reiterará tantas veces como lo deseen los diputados y las diputadas… la defensa del derecho a la autodeterminación y la reivindicación de la soberanía del pueblo de Cataluña para decidir su futuro político”; y el acuerdo de la mesa de 29 de octubre de 2019 por el que se rechazan las solicitudes de reconsideración formuladas por varios grupos y subgrupos parlamentarios. El primer recurso de súplica se interpone en representación de don Josep Costa i Roselló, vicepresidente primero de la mesa del Parlamento de Cataluña, y de don Eusebi Campdepadrós i Pucurull, secretario primero de la mesa. El segundo,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diferentes son también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5 de noviembre de 2019 y son además destinatarios de una petición adicional del abogado del Estado para que en la resolución de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procedente su intervención en este incidente, surge inmediatamente la cuestión de la admisibilidad del recurso de súplica interpuesto por ambos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la admisión del recurso de súplica, dando traslado del mismo a las partes y al ministerio fiscal para que puedan formular alegaciones dentro del plazo común de tres días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admitir su intervención, si bien, como en el caso anterior, a los solos efectos de que en el seno de este incidente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