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2535-2019,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22 de abril de 2019, la procuradora de los tribunales doña Blanca Berriatua Horta, en representación de la entidad Euroinversiones Inmobiliarias Costa Sur, S.L., y bajo la dirección del letrado don Marcelino Gilabert García, interpuso recurso de amparo contra el auto del Juzgado de Primera Instancia e Instrucción núm. 5 de Lorca de 27 de febrero de 2019, por el que se desestima el recurso de reposición interpuesto contra el auto de 21 de septiembre de 2018, por el que se inadmite el escrito de oposición a la ejecución hipotecaria en el procedimiento de ejecución hipotecaria núm. 362-2018.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“la continuación de la ejecución derivada de los pronunciamiento judiciales que han sido objeto de impugnación, con la celebración de subasta y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el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8 de noviembre de 2019, la entidad demandante presentó alegaciones reiterando su solicitud de suspensión, insistiendo en que con la celebración de la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15 de noviembre de 2019, presentó alegaciones interesando que se deniegue la suspensión, pero que se acuerde la anotación preventiva de la demanda de amparo, argumentando que la petición de suspensión del procedimiento ejecutivo no 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de la recurrente en amparo y dirigida frente al procedimiento de ejecución hipotecaria núm. 362-2018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de la Ley Orgánica del Tribunal Constitucional,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