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16 de diciembre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2535-2019, promovido por Euroinversiones Inmobiliarias Costa Sur,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22 de abril de 2019, la procuradora de los tribunales doña Blanca Berriatua Horta, en representación de la entidad Euroinversiones Inmobiliarias Costa Sur, S.L., y bajo la dirección del letrado don Marcelino Gilabert García, interpuso recurso de amparo contra el auto del Juzgado de Primera Instancia e Instrucción núm. 5 de Lorca de 27 de febrero de 2019, por el que se desestima el recurso de reposición interpuesto contra el auto de 21 de septiembre de 2018, por el que se inadmite el escrito de oposición a la ejecución hipotecaria en el procedimiento de ejecución hipotecaria núm. 362-2018.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del procedimiento de ejecución hipotecaria alegando que “la continuación de la ejecución derivada de los pronunciamiento judiciales que han sido objeto de impugnación, con la celebración de subasta y eventual adjudicación a terceros, pueden hacer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sendas providencias el 28 de octubre de 2019, acordó, en la primera, entre otros aspectos, la admisión a trámite de la demanda de amparo y la formación de pieza separada para la sustanciación del incidente de suspensión; y, en la segunda, formar la oportuna pieza para la tramitación del incidente sobre suspensión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8 de noviembre de 2019, la entidad demandante presentó alegaciones reiterando su solicitud de suspensión, insistiendo en que con la celebración de la subasta y la eventual adjudicación a terceros o a la entidad ejecutante el recurso de amparo perdería su finalidad y le provocaría perjuicios patrimoniales de imposible o difícil reparación. También pone de manifiesto que la posible adjudicación del bien inmueble a terceros de buena fe conllevaría a situaciones irreversibles.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15 de noviembre de 2019, presentó alegaciones interesando que se deniegue la suspensión, pero que se acuerde la anotación preventiva de la demanda de amparo, argumentando que la petición de suspensión del procedimiento ejecutivo no parece muy fundamentada y que el efecto protector deseado por la entidad demandante frente a la posible adjudicación a un tercero de buena fe del bien subastado se obtendría de manera mucho más eficaz mediante la anotación preventiva de la demanda de amparo en el registro de la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de la recurrente en amparo y dirigida frente al procedimiento de ejecución hipotecaria núm. 362-2018 seguido en el Juzgado de Primera Instancia e Instrucción núm. 5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25 de febrero, FJ 2; 74/2013, de 8 de abril, FJ 2; 152/2013, de 8 de julio, FJ 2; 37/2014, de 10 de febrero, FJ 2; 282/2014, de 17 de noviembre, FJ 3,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de la que se ha hecho mención permite concluir, de acuerdo con el fiscal, que resulta improcedente la suspensión solicitada y, por el contrario, aparece como medida idónea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se limita a poner de manifiesto, genéricamente, que la eventual adjudicación a terceros puede hacer perder al recurso de amparo su finalidad, sin añadir indicación alguna sobre la situación y circunstancias de dicha entidad mercantil, como tampoco sobre las características, destino y estado posesorio del inmueble hipotecado. En tales circunstancias, no es posible afirmar que la continuación del curso del procedimiento judicial, incluso con un desplazamiento posesorio, provoque por sí solo un perjuicio determinante de la pérdida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la adquisición del bien por tercero lo hiciera irreivindicable; situación a la que se hace referencia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ha sido la solución acogida recientemente, entre otros, en los AATC 106/2017, de 17 de julio, FJ 3; 88/2018, de 17 de septiembre, FJ 5, y 2/2019, de 9 de enero, FJ 4, así como en el ATC 85/2019, de 15 de julio, a propósito de otro procedimiento hipotecario seguido ante el Juzgado núm. 3 de Lorca, donde se plantearon los mismos argumentos que aquí para solicitar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de la Ley Orgánica del Tribunal Constitucional, puede adoptar de oficio o a instancia de parte, con fundamento en el art. 42.1 de la Ley hipotecaria, y que, de acuerdo con el ATC 95/2015, de 25 de mayo,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decisión en esta materia se limita, en tal sentido,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 (AATC 21/2018, de 5 de marzo, FJ 5, y 88/2018, de 17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362-2018 seguido en el Juzgado de Primera Instancia e Instrucción núm. 5 de 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