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28 de enero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Antonio Narváez Rodríguez, don Alfredo Montoya Melgar, don Ricardo Enríquez Sancho,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976-2019, interpuesto por el presidente del Gobierno contra los siguientes preceptos de la Ley de las Cortes de Aragón 8/2018, de 28 de junio, de actualización de los derechos históricos de Aragón (“Boletín Oficial de Aragón” núm. 132, de 10 de julio de 2018): art. 1, apartados 1 y 2; art. 2, apartados 1 y 2, letras d) y e) [en este último caso exclusivamente respecto del término “pacto”]; art. 3; art. 4; art. 5, apartados 1 y 2, letra b); art. 7, apartado 1, letra c); art. 9; art. 10, apartado 1; art. 13; arts. 14 a 22; art. 25; art. 26, apartados 1, 2 y 3; art. 27; art. 32, letra a); art. 33, apartado 5; disposiciones adicionales segunda y tercera; y disposición final tercera. Ha sido ponente el magistrado don Antonio Narváez Rodríguez.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15 de febrero de 2019 tuvo entrada en el registro de este Tribunal el recurso de inconstitucionalidad interpuesto por el presidente del Gobierno contra los preceptos de la Ley de las Cortes de Aragón 8/2018, de 28 de junio, de actualización de los derechos históricos de Aragón, que se han citado en el encabezamiento. La demanda hizo invocación expresa del art. 161.2 CE, en relación con el art. 30 de la Ley Orgánica del Tribunal Constitucional (LOTC), exclusivamente respecto del art. 7.1 c) de la ley impugnada, a fin de que se suspendiera su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se fundamenta en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abogado del Estado comienza con unas consideraciones generales sobre la ley impugnada que formula a partir del contenido del preámbulo y del art. 1, de los cuales destaca la proclamación de Aragón como “nacionalidad histórica de naturaleza foral”, cuya participación en el proceso histórico de construcción de España “no ha supuesto renuncia a sus derechos históricos” y que es titular de unos derechos históricos cuya “actualización es legítima de acuerdo con la disposición adicional primera de la Constitución y según se prevé en la disposición adicional tercera del Estatuto de Autonomía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Avanza que el modo en que la ley articula la actualización de los derechos históricos de Aragón es contrario, tanto a la norma fundamental, como al Estatuto de Autonomía de Aragón. Considera que parece pretender la sustitución del vigente Estatuto al regular ex novo algunas materias propias del mismo y otras que lo contradicen, resultando, además, opuestas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demanda se articula en torno a unas tachas generales, referidas a bloques de normas, a las que se suman argumentos específicos dirigidos contra preceptos concretos.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tachas generales se plantean en torno a preceptos agrupados de la siguiente forma: a) los relacionados con la configuración de Aragón como comunidad autónoma y nacionalidad histórica, que se pretende incluir en el ámbito de la disposición adicional primera de la Constitución; b) los que regulan indebidamente aspectos que están reservados al Estatuto y a otras leyes orgánicas, conforme al art. 81.1 CE; y, por último, c) los que infringen competencias estatales en materia patrimonial, procesal y de hacienda y justicia. Se advierte que quedan fuera de la impugnación aquellos que carecen de contenido prescriptivo.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el primer bloque, el abogado del Estado invoca la STC 76/1988, de 25 de abril, según la cual la disposición adicional primera de la Constitución solo es aplicable al País Vasco y a Navarra. Cita, asimismo, la STC 88/1993, de 12 de marzo, que excluyó que la citada disposición fuera cláusula de garantía de la foralidad civil, materia en la que Aragón sí tiene derecho propio, pero no en virtud de la disposición adicional primera, referida a ciertas peculiaridades jurídico-públicas, sino del art. 149.1.8 CE. Añade que la disposición adicional tercera del Estatuto, que se remite a la disposición adicional primera de la Constitución, no es canon de validez de las normas estatutarias o autonómicas. No es posible, por tanto, que Aragón sea definida como una Comunidad foral en el sentido que la Constitución ha dado a este término en su disposición adicional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aduce, asimismo, con apoyo en los arts. 1.2 y 9 CE, que no cabe sostener que haya un pacto con valor originario y preconstitucional entre las comunidades autónomas, o entidades territoriales preexistentes, y el Estado, en el que se fundamente el poder constituido a partir de 1978, como tampoco cabe el reconocimiento de derechos preexistentes a la norma fundamental. Cita, al respecto, además de la mencionada STC 76/1988, las SSTC 247/2007, de 12 de diciembre, FJ 4 a); 103/2008, de 11 de septiembre, FJ 4; 31/2010, de 28 de junio, FJ 10, y 259/2015, de 2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el Estatuto de Autonomía de Aragón, aprobado por Ley Orgánica 5/2007, de 20 de abril (en adelante, EAAr), es respetuoso con esta concepción y ya tiene en cuenta las particularidades históricas de Aragón, cuando dispone que la Comunidad Autónoma ostenta una identidad propia dentro del sistema constitucional. En efecto, de acuerdo con el vigente art. 1.3 EAAr “[l]a Comunidad Autónoma de Aragón, dentro del sistema constitucional español, ostenta por su historia una identidad propia en virtud de sus instituciones tradicionales, el Derecho foral y su cultura”. Este es el estatuto jurídico de la Comunidad Autónoma, que reconoce su identidad propia en los términos expresados, y el único admisible. Para el abogado del Estado, la ley impugnada ignora esta previsión, que solo puede contenerse en el Estatuto de Autonomía, y pretende establecer un régimen jurídico de la comunidad, con una identidad y características contrarias al Estatuto y a la propia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a la reserva de ley orgánica, considera que se vulnera, tanto por regular indebidamente elementos propios del Estatuto conforme al art. 147 CE (cita la STC 247/2007, de 12 de diciembre), como por entrar en abierta contradicción con este, sin seguir el procedimiento de reforma previsto al efecto. De la lectura de la ley recurrida pareciera que quiere sustituir al Estatuto o erigirse en un Estatuto paralelo al vigente, lo que es completamente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también se infringe la reserva de ley orgánica del art. 81.1 CE, en relación con el derecho fundamental a participar en los asuntos públicos ex art. 23 CE y con el régimen electoral general. En este vicio incurre, en concreto, el art. 7.1 c) de la Ley, que aborda la regulación de la condición política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se alega la infracción de las competencias estatales sobre archivos y registros (art. 149.1.28 CE), por la regulación sobre el archivo de la Corona de Aragón y el archivo del Reino de Aragón. Se citan las SSTC 14/2013, de 31 de enero, FJ 5, y 38/2013, de 14 de febrero, FJ 4, según las cuales hay que diferenciar la competencia para definir e integrar los elementos que componen el patrimonio documental y la competencia sobre los archivos que contienen dichos documentos. Se vulnera también la competencia en materia de legislación civil y procesal (art. 149.1.8 CE), al regular los principios de interpretación del derecho aragonés y al sustituir la denominación del procedimiento de habeas corpus por el “recurso de manifestación de personas”, lo que no encuentra cobertura por la competencia que atribuye el art. 149.1.6 CE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partir de las consideraciones generales anteriores, la demanda argumenta específicamente la inconstitucionalidad de una relación de preceptos de la Ley 8/2018, de 28 de junio, de actualización de los derechos históricos de Aragón. No obstante lo anterior, únicamente se va a hacer mención en los antecedentes a los que no hayan sido ya objeto de pronunciamiento por este Tribunal, que, en su reciente STC 158/2019, de 12 de diciembre, declaró inconstitucionales y nulos los siguientes: arts. 1, apartados 1, 2 y 3; arts. 2 a 5; art. 6, apartado 1, inciso “como sucesores de las instituciones del antiguo Reino de Aragón”, y apartado 3, inciso “al asilo”; art. 7, apartado 1, letra c); art. 8, letra b); art. 9; art. 10, apartados 1 y 2; art. 11, apartado 1; art. 14, apartados 1, 2 y 3; art. 15; art. 16, apartado 3; art. 18, apartado 1, inciso “tiene su origen histórico en la Diputación del Reino”; arts. 20, 21, 22 y 25; art. 26, apartados 1, 2 y 3; art. 31; art. 32, letra a); art. 33, apartados 3 y 5; disposición adicional segunda, apartado 1, párrafo primero, inciso “y sus derechos históricos”, y párrafo segundo; disposición adicional tercera; y disposición final tercera.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resto de los preceptos de la Ley 8/2018 a los que se refiere el escrito de alegaciones del abogado del Estado son: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Arts. 13 y 14 a 22. Al regular la “capitalidad” y las “instituciones de autogobierno”, incumplen la reserva estatutaria contenida en el art. 147.2 c) CE. Mediante la regulación de estas instituciones básicas, parece articular un nuevo Estatuto de Autonomía, con pretensión de modificarlo o sustituirlo, competencia de la que carecen las Cortes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Específicamente, el abogado del Estado alega que, cuando el art. 15 dispone que las Cortes de Aragón velarán por la conservación, desarrollo y eficacia de los “derechos históricos”, vuelve a incurrir en inconstitucionalidad, por los motivos ya esgrimidos.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 16.3, que ordena al Justicia de Aragón elaborar un informe específico anual sobre “las acciones llevadas a cabo, en cumplimiento de la presente ley, para la actualización y desarrollo de los derechos históricos, especialmente desde el Gobierno de Aragón” es inconstitucional por conexión, dado que tiene por objeto la elaboración de un informe sobre una materia, como es la “actualización de los derechos históricos”, para la que la comunidad carece de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el art. 18.3, sobre los órganos de control de la Diputación General de Aragón, y el art. 19, que trata específicamente de la Cámara de Cuentas de Aragón, omiten citar las funciones encomendadas al Tribunal de Cuentas por el art. 136 CE y su ley reguladora, incurriendo por ello en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dentro de este bloque, el abogado del Estado también considera inconstitucional el art. 21, que invade la reserva estatutaria, al disponer que los municipios y comarcas integran el sistema institucional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Art. 27. Dispone que la Diputación General de Aragón unificará en un solo fondo todos los restos documentales que fueron conservados en el Archivo del Reino de Aragón. El abogado del Estado recuerda que es una institución histórica que se encontraba en el antiguo Palacio de la Diputación, junto a la Lonja de Zaragoza, fundada en el año 1437, que desapareció casi totalmente durante los denominados Sitios de Zaragoza. Y formula idéntico reparo que sobre el art. 26, en cuanto a su incidencia en las competencias exclusivas estatales del art. 149.1.28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Disposición adicional segunda. Esta norma prevé en su apartado 1 que “[l]os bienes y archivos que integran el patrimonio cultural e histórico del Reino de Aragón y que pertenecieron a la Diputación General, a las Cortes, al Justicia, al Consejo de Aragón, a la Audiencia y al Maestre Racional del Reino de Aragón se declaran de interés general para la Comunidad Autónoma de Aragón a los efectos expropiatorios, con el fin de afirmar y defender la identidad de Aragón y sus derechos históricos”.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redacción no respeta las competencias del Estado, en la medida en que parte de estos bienes pueden estar custodiados en archivos o museos de titularidad estatal y no se incluye ninguna cláusula de salvaguardia de las competencias del Estado. Además, es contraria al principio de territorialidad de las normas previsto en el Estatuto de Autonomía de Aragón, pues alcanza a bienes situados fuera de la comunidad. La inconstitucionalidad se extiende al apartado 2 de la misma disposición adicional, que dispone que será condición de la expropiación la declaración oficial del bien y archivos como “singulares” para la identidad de Aragón por parte de la Diputación General, que conllevará la necesidad de ocupación, conforme a la ley de expropiación forzosa.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26 de febrero de 2019, el Pleno del Tribunal, a propuesta de la Sección Cuarta, acordó admitir a trámite el recurso de inconstitucionalidad; dar traslado de la demanda y documentos presentados, conforme establece el artículo 34 LOTC, al Congreso de los Diputados y al Senado, así como a la Diputación General y a las Cortes de Aragón, al objeto de que, en el plazo de quince días, pudieran personarse en el proceso y formular las alegaciones que estimaren convenientes; así como publicar la incoación del recurso en el “Boletín Oficial del Estado” (lo que tuvo lugar en el núm. 56, de 6 de marzo de 2019) y en el “Boletín Oficial de Aragón” (que lo fue en el núm. 50, de 13 de marzo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tuvo por invocado el artículo 161.2 CE respecto del artículo 7.1 c) de la ley impugnada, lo que, a su tenor y conforme dispone el artículo 30 LOTC, produjo la suspensión de la vigencia y aplicación del citado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escritos registrados en este Tribunal los días 8 y 15 de marzo de 2019, los presidentes del Senado y del Congreso de los Diputados, respectivamente, comunicaron los acuerdos de las mesas de las diputaciones permanentes de las cámaras de personarse en el proceso, ofreciendo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el día 3 de abril de 2019, el letrado de la Comunidad Autónoma de Aragón se personó en el proceso y solicitó una prórroga del plazo para formular alegaciones; petición a la que se accedió mediante providencia de esa misma fecha, prorrogándole en ocho días el plazo de alegaciones inicialmente conferido, a contar desde el día siguiente al de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medio de un escrito presentado el mismo día 3 de abril, el letrado de las Cortes de Aragón comunicó el acuerdo de la cámara de personarse en el proceso y solicitó una prórroga del plazo para formular alegaciones; a lo que accedió el Pleno del Tribunal mediante providencia de 4 de abril, prorrogándole en ocho días el plazo de alegaciones inicialmente conferido, a contar desde el día siguiente al de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escrito de alegaciones, que tuvo entrada en el registro el 15 de abril de 2019, solicitaba la desestimación íntegra del recurso con base en los razonamientos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cuestiones preliminares, alega que el recurso es inadmisible en todo lo que se refiere a mandatos y orientaciones políticas sin impacto jurídico directo dado que no son admisibles las impugnaciones cuya finalidad sea obtener declaraciones preventivas (STC 49/1984, de 5 de abril, FJ 2), ni puede confundirse el control de constitucionalidad con un juicio de intenciones políticas (STC 239/1992, de 17 de diciembre, FJ 2). Tampoco puede versar el reproche de inconstitucionalidad sobre meros mandatos u orientaciones de carácter político dirigidos a las propias instituciones aragonesas para que demanden reformas del ordenamiento jurídico (STC 247/2007, de 12 de diciembre, FJ 15). Recuerda que el control de constitucionalidad no es un control político ni de oportunidad (STC 185/2016, de 3 de noviembre, FJ 3). Asimismo, con cita de la STC 89/1984, de 28 de septiembre, FJ 7, argumenta que la reserva estatutaria, que repetidamente invoca la demanda, no tiene carácter absoluto.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Efectúa, a continuación, unas consideraciones generales sobre la ley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su finalidad es afirmar y proteger la identidad aragonesa, adaptándola al nuevo entorno. Añade que la ley desarrolla un precepto del Estatuto (disposición adicional tercera) que ya estaba recogido en el texto original de 1982 y que se ha mantenido en todas sus revisiones. Tras una exposición de los antecedentes históricos y de los debates parlamentarios en torno a la disposición adicional primera de la Constitución, destaca que el texto finalmente aprobado deja abierta la posibilidad de considerar que hubo más territorios forales que los vasco-navarros, cuya mención expresa únicamente se recoge en la disposición derogatoria. La actualización de los derechos históricos no exige que se lleve a cabo mediante la reforma constitucional o estatutaria, sino en el marco de estas normas.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Seguidamente, sostiene que los derechos históricos de Aragón tienen base en lo previsto en el Estatuto de Autonomía de Aragón y en la disposición adicional primera de la Constitución, cuya tramitación parlamentaria permite afirmar que es abierta y no se ciñe al País Vasco y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88/1993, de 12 de marzo, FJ 1, no cierra la vía a la actualización de los derechos forales; solo indica que la foralidad civil no precisa sustentarse en la disposición adicional primera de la Constitución, dado que tiene base suficiente en el art. 149.1.8 CE. Tampoco la STC 76/1988, de 26 de abril, aunque se refiere a los territorios de Navarra y País Vasco, excluye expresamente al resto.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evolución de la jurisprudencia constitucional permite identificar: (i) una primera etapa que impide deducir de los derechos históricos específicas competencias no incorporadas a los Estatutos (STC 11/1984, de 2 de febrero); (ii) una segunda etapa, abierta con la STC 76/1988, que acoge una caracterización dinámica de la foralidad, permitiendo proteger un régimen de autogobierno territorial en el que quepa reconocer el régimen foral tradicional de los distintos territorios históricos; y (iii) una tercera etapa que habilita a la disposición adicional primera de la Constitución como título competencial (STC 214/1989, de 21 de diciembre), aceptando depurar las competencias de la comunidad foral en virtud de su historia (SSTC 140/1990, de 29 de septiembre; 148/2006, de 11 de mayo, y 195/2006, de 22 de junio), y dando valor a la investigación de las competencias ejercidas en el pasado (STC 159/1993, de 6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—concluye— los derechos históricos de Aragón tienen su fundamento en la Constitución, el Estatuto y la doctrina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Considera, en relación con las impugnaciones basadas en los principios de soberanía nacional, primacía de la Constitución y derecho a la autonomía, que hay que tener en cuenta la relevante orientación de la STC 31/2010, de 28 de junio, que introdujo una técnica de interpretación conforme, que permite considerar el contexto jurídico, rechazando la impugnación global de preceptos similares a los aquí recurridos, cuando no idénticos.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parte principal de las alegaciones del letrado de las Cortes de Aragón se dedica a rebatir la impugnación de cada precepto en particular, si bien únicamente se recogen en los antecedentes los argumentos relativos a los preceptos de la Ley de las Cortes de Aragón 8/2018 que no han sido enjuiciados ni declarados inconstitucionales y nulos por la STC 158/2019, de 12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Art. 13. Se limita a reproducir el art. 3.3 EAAr, según el cual la capital de Aragón es Zaragoza. En favor de una interpretación flexible de la reserva estatutaria, la STC 89/1984, admitió que el Estatuto de Castilla y León no fijara la capital autonómica sino que se remitiera a un posterior acuerdo de las Cortes de dicha Comunidad.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Arts. 14 a 22. Al regular las instituciones de autogobierno no pretende alterar las reconocidas en el Estatuto. La impugnación está escasamente fundada y entra en el terreno del control de oportunidad, pues las Cortes son libres de relacionar estas instituciones en una ley autonómica. No hay innovaciones respecto al Estatuto, como resulta de un examen de detalle: (i) El art. 14 enumera las instituciones que constituyen el precedente de las actuales, sin modificarlas ni ampliar sus competencias. La mención a la precedencia del apartado 4 se refiere solo a las autoridades aragonesas, manifestación de la competencia exclusiva sobre autogobierno (art. 71.1 EAAr); (ii) El art. 15 únicamente incluye un mandato político, excluido del control constitucional; (iii) El art. 16 reproduce el art. 59 EAAr y la regulación autonómica preexistente, añadiendo aspectos propios del autogobierno autonómico (art. 71.1 EAAr); (iv) El art. 17 reproduce parte de los arts. 46 a 52 EAAr. La convocatoria del referéndum sobre reformas estatutarias se corresponde con el art. 115.7 EAAr; (v) El art. 18 contiene una mera referencia histórica, reproduciendo en lo restante los arts. 96 a 98, 33 y 53.4 EAAr; (vi) El art. 19 reproduce el art. 112 EAAr, confiriendo a la Cámara de Cuentas la denominación histórica de Maestre Racional, sin modificar el texto estatutario; (vii) El art. 20 no contiene modificaciones de lo dispuesto en los arts. 67 a 69 EAAr y en la normativa general sobre el Tribunal Superior de Justicia; (viii) El art. 21 realiza unas referencias a las principales entidades locales con mayor proyección histórica, sin modificar el régimen jurídico de la organización territorial aragonesa; (ix) El art. 22 es un mandato general con fines identitarios, sin consecuencias jurídicas. Su impugnación entra de lleno en la ya mencionada razón de inadmisibilidad, por su carácter preventivo y de control de oportunidad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Art. 27. Solo contiene un mandato a la Diputación General de Aragón para que unifique los restos del antiguo archivo del Reino de Aragón, reiterando lo que ya prevé la Ley de las Cortes de Aragón 6/1986, de 28 de noviembre, de archivos de Aragón, similar a las de otras comunidades autónomas sobre esta materia. No se produce la invasión competencial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Disposición adicional segunda. Esta norma, que declara de interés general para la Comunidad Autónoma de Aragón ciertos bienes y archivos a los efectos expropiatorios, es respetuosa con el art. 33 CE y el Estatuto de Autonomía, cuyo art. 77.16 confiere competencias a la Comunidad de Aragón en materia de expropiación forzosa, desarrollada en este aspecto por la Ley 3/1999, de 10 de marzo, de patrimonio cultural de Aragón. La demanda, basada en el posible uso de esta norma para bienes custodiados en archivos o museos de titularidad estatal, es preventiva, por lo que debe rechazarse.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de 22 de abril de 2019, presentó sus alegaciones el letrado de la Diputación General de Aragón, interesando la desestimación del recurso, por los siguientes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cuestión principal es determinar si la ley impugnada puede ampararse en la disposición adicional primera de la Constitución y en la disposición adicional tercera del Estatuto de Autonomía de Aragón. La respuesta —a su juicio— debe ser afirmativa, a la vista de la claridad de ambas normas. Añade que la disposición adicional tercera del Estatuto tiene una redacción casi idéntica a la disposición adicional primera del Estatuto de Autonomía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que el abogado del Estado no cuestiona la inconstitucionalidad de la disposición adicional tercera del Estatuto de Autonomía de Aragón, pero pretende, en fraude de ley, discutir per saltum (puesto que no ha sido impugnada) una norma que data de 1982 y se ha mantenido tras varias reformas estatutarias.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letrado del gobierno autonómico es indiscutible que Aragón, en cuanto territorio foral, puede actualizar sus derechos y solo podrá ser objeto de recurso el alcance y límites de dicha actualización.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disposición adicional tercera del Estatuto de Autonomía de Aragón es plenamente constitucional por las siguientes razones: i) en los debates constitucionales se descartó citar expresamente a las provincias vascas y navarra en la disposición adicional primera de la Constitución; ii) desde el primer Estatuto aragonés de 1982 esta Comunidad afirmó la actualización de sus derechos históricos; iii) esto se mantiene en el Estatuto de 2007, pese a que hubo una enmienda para su supresión; iv) el Tribunal Constitucional no se ha pronunciado expresamente en contra del carácter foral de Aragón ni ha declarado inconstitucional la disposición adicional tercera del referido Estatuto, apoyándose la tesis del abogado del Estado únicamente en pronunciamientos obiter dicta; v) la historia jurídica no cuestiona que Aragón es un territorio foral, sin que pueda entenderse la interpretación generosa que se ha mantenido para las provincias de Guipúzcoa y Álava, cuya foralidad en todo caso es posterior a los Decretos de Nueva Planta, y el criterio tan restrictivo seguido con Aragón; vi) no es correcto afirmar que después de dichos decretos desapareciera todo el “Derecho público” en Aragón, citando por ejemplo la reserva de plazas a favor de los aragoneses en las principales instituciones de gobierno, incluidas las reformadas Cortes de Castilla, así como la aplicación del derecho procesal aragonés; además, debe relativizarse la importancia de la división entre Derecho público y privado; y vii) no se pretende amparar la competencia sobre Derecho civil en la disposición adicional primera de la Constitución, pero esta sí acoge la existencia del Derecho foral de Aragón en cuanto derecho histórico del pueblo aragonés.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No se pueden aceptar los argumentos generales que esgrime el abogado del Estado, por las siguientes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ley impugnada no pretende dejar la Constitución al margen, sino que respeta plenamente la soberanía nacional en que se basa. Tampoco fundamenta la autonomía de Aragón en un pacto entre instancias territoriales anterior a la Constitución. La afirmación de Aragón como nacionalidad histórica es coherente con el art. 2 CE y el art. 1 EAAr, sin que en ningún apartado de la ley se mencione el término “soberanía”.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tampoco puede desconocerse el fundamento histórico que ha llevado a la creación de muchas comunidades autónomas, tanto las regiones como las nacionalidades. El propio art. 143 CE da importancia a las características históricas comunes de las provincias que han conformado las distintas comunidades. Las referencias a la historia también se advierten en otros preceptos constitucionales como los arts. 57, el 149.1.8 y la propia disposición adicional primera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reconocimiento de los derechos históricos de Aragón, conforme a la disposición adicional primera de la Constitución, no debe interpretarse como una situación de privilegio, sino como manifestación de su identidad histórica foral y el respeto a la misma dentro de la Constitución. Los derechos históricos no son un título autónomo del que puedan deducirse competencias específicas. Así pues, los derechos históricos están en la Constitución y no fuera de ella, siendo la propia disposición adicional primera la que permite su actualización dentro del marco constitucional y estatutario.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Respecto a que el Estatuto sea la única vía para la actualización de los derechos históricos, debe matizarse que el Tribunal Constitucional ha venido admitiendo que dicha actualización se lleve a cabo, tanto por normas estatales como autonómicas, incluso en virtud de actos y convenios. Ha exigido —aclara— una mención general a la existencia del régimen foral en los estatutos, tal y como hace la disposición adicional tercera del Estatuto de Autonomía de Aragón. Junto a esta, el preámbulo del Estatuto así como diversos artículos del mismo tienen referencias a los contenidos mínimos de la foralidad aragonesa, citando como ejemplo los arts. 1.1 (definición de Aragón como nacionalidad histórica); 1.3 (identidad propia); 2 (territorio histórico); 3 (símbolos tradicionales); 7 (lenguas y modalidades lingüísticas de Aragón); 22 (patrimonio histórico y artístico); 71.2 (derecho civil); 71.6 (organización territorial propia); 108 (convenio bilateral económico-financiero) y disposición final primera (archivo de la Corona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Entrando en las impugnaciones específicas que el letrado del Gobierno de Aragón formula a los diferentes preceptos de la Ley de las Cortes de Aragón 8/2018, siguiendo el precedente de lo recogido en estos antecedentes respecto de lo alegado por las otras partes, únicamente se hace mención a los artículos no declarados inconstitucionales y nulos por la STC 158/2019, de 12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Art. 13. Se limita a reproducir el art. 3.3 EAAr, según el cual la capital de Aragón es Zaragoza. No se vulnera la reserva del art. 147.2 c) CE, que se refiere a la sede de las instituciones autonómicas, no a la capital, pudiendo no coincidir. En todo caso, la reproducción de normas autonómicas, cuando se justifica por razones sistemáticas, no es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Arts. 14 a 22. No hay una impugnación individualizada, por lo que no se cumple con el art. 33 LOTC. La alegación genérica de incumplimiento de la reserva estatutaria debe rechazarse por lo ya argumentado respecto de las anteriores impugnaciones. El recurso contra los arts. 15 y 16 de la Ley 8/2018, basado en la referencia que incorporan a los derechos históricos, debe rechazarse por lo argumentado en general sobre esta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Acerca del art. 19 de la Ley de las Cortes de Aragón 8/2018, la mención al Tribunal de Cuentas del Estado no es necesaria, pues dicha institución ya se deja a salvo en la ley reguladora de la Cámara de Cuentas. Respecto a que el presidente de dicho órgano pase a denominarse Maestre Racional, es una competencia amparada en la capacidad de autoorganización reconocida por el art. 71.1 EAAr. Por último, al mantenerse la denominación de la institución, que es la Cámara, se respeta el art. 147.2 c)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concerniente al art. 21, sobre municipios y comarcas, el título VI EAAr incluye los municipios y comarcas como instituciones de Aragón, debiendo recordarse que esta comunidad tiene competencias en materia de régimen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Art. 27. Se trata de una norma de autoorganización, referida a los fondos del antiguo archivo del Reino de Aragón, que son competencia de la Diputación General de Aragón, por lo que no hay tacha alguna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Disposición adicional segunda. La declaración de interés general para la Comunidad Autónoma de Aragón de ciertos bienes y archivos a los efectos expropiatorios se ajusta a la competencia autonómica que reconoce el art. 77.16 EAAr. Y la extraterritorialidad respecto a los bienes que hayan salido del territorio de Aragón sin un título válido se fundamenta en el art. 22.2 EAAr. Debe darse por sentado que esta competencia se ejercerá con respeto a las de otras administraciones.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ATC 62/2019, de 18 de junio, se acordó mantener la suspensión del art. 7.1 c) de la Ley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STC 158/2019, de 12 de diciembre, ha resuelto el recurso de inconstitucionalidad núm. 5212-2018 planteado contra la Ley autonómica 8/2018 por 117 diputados del grupo parlamentario Popular del Congreso de los Diputados, estimándolo parcialmente.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28 de enero de 2020, se señaló para deliberación y votación de la presente sentencia esa misma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presidente del Gobierno interpone recurso de inconstitucionalidad contra los siguientes preceptos de la Ley de las Cortes de Aragón 8/2018, de 28 de junio, de actualización de los derechos históricos de Aragón (“Boletín Oficial de Aragón” núm. 132, de 10 de julio de 2018): art. 1, apartados 1 y 2; art. 2, apartados 1 y 2, letras d) y e) [en este último caso exclusivamente respecto del término “pacto”]; art. 3; art. 4; art. 5, apartados 1 y 2, letra b); art. 7, apartado 1, letra c); art. 9; art. 10, apartado 1; art. 13; arts. 14 a 22; art. 25; art. 26, apartados 1, 2 y 3; art. 27; art. 32, letra a); art. 33, apartado 5; disposiciones adicionales segunda y tercera; y disposición final tercera.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recurso se oponen los representantes procesales de las Cortes de Aragón y de la Diputación General de Aragón, que solicitan su íntegra desestimación, por las razones que detalladamente se han expuesto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STC 158/2019, de 12 de diciembre: Pérdida parcial sobrevenida de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158/2019, de 12 de diciembre, ha resuelto el recurso de inconstitucionalidad núm. 5212-2018, formalizado contra la Ley de las Cortes de Aragón 8/2018, de 28 de junio, de actualización de los derechos históricos de Aragón por 117 diputados del grupo parlamentario Popular del Congreso de los Diputados, que lo ha estimado parcialmente. En concreto, ha declarado que son inconstitucionales y nulos los siguientes artículos, apartados o incisos de la citada ley: arts. 1, apartados 1, 2 y 3; arts. 2 a 5; art. 6, apartado 1, inciso “como sucesores de las instituciones del antiguo Reino de Aragón”, y apartado 3, inciso “al asilo”; art. 7, apartado 1, letra c); art. 8, letra b); art. 9; art. 10, apartados 1 y 2; art. 11, apartado 1; art. 14, apartados 1, 2 y 3; art. 15; art. 16, apartado 3; art. 18, apartado 1, inciso “tiene su origen histórico en la Diputación del Reino”; arts. 20, 21, 22 y 25; art. 26, apartados 1, 2 y 3; art. 31; art. 32, letra a); art. 33, apartados 3 y 5; disposición adicional segunda, apartado 1, párrafo primero, inciso “y sus derechos históricos”, y párrafo segundo; disposición adicional tercera; y disposición final tercera.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dicha sentencia ha declarado que, salvo el inciso “y sus derechos históricos” que declara contrario a la Constitución, “el párrafo primero del apartado primero de la disposición adicional segunda no es inconstitucional, siempre que se interprete en los términos establecidos en el fundamento jurídico 8 j)” [en realidad, es el fundamento jurídico 7 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reiterada doctrina constitucional [por todas, SSTC 111/2016, de 9 de junio, FJ 2 a) y 49/2018, de 10 de mayo, FJ 3 b)], la expulsión del ordenamiento jurídico de los preceptos indicados determina la pérdida sobrevenida de objeto del recurso en lo que a ellos respecta. Por consiguiente, nuestro ámbito de enjuiciamiento quedará circunscrito a las normas de la Ley de las Cortes de Aragón 8/2018, de 28 de junio, de actualización de los derechos históricos de Aragón impugnadas por el presidente del Gobierno que no han sido anuladas por la STC 158/2019.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Enjuiciamiento del objeto subsistente: aplicación de la doctrina de la STC 158/2019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indicado en el fundamento jurídico precedente, el objeto del presente proceso constitucional se contrae a los siguientes preceptos de la Ley autonómica 8/2018: art. 13; art. 14, apartado 4; art. 16, apartados 1 y 2; art. 17; art. 18, salvo el inciso ya anulado “tiene su origen histórico en la Diputación del Reino” del apartado 1; art. 19; art. 27; y disposición adicional segunda, salvo el inciso “y sus derechos históricos” del párrafo primero y el párrafo segundo del apartado 1, ya anulados.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análisis de tales preceptos debemos aplicar la doctrina establecida por la STC 158/2019, abordando adicionalmente, en su caso, los argumentos de inconstitucionalidad no examinados en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13 (“Capitalidad”) se impugna por regular una materia reservada al Estatuto de Autonomía. Como hemos recordado en la STC 158/2019, FJ 6, la Constitución recoge una reserva de Estatuto que comprende los contenidos mínimos recogidos en el art. 147.2 CE y en otras previsiones constitucionales que expresamente remiten a los estatutos de autonomía. Sin embargo, esta reserva no impide al legislador aragonés, en ejercicio de la competencia de organización de sus instituciones de autogobierno que le reconocen los arts. 148.1.1 CE y 71.1 EAAr, desarrollar las previsiones estatutarias, siempre que respeten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el art. 13 de la Ley de actualización de los derechos históricos de Aragón, que dispone que la ciudad de Zaragoza es la capital de Aragón y la sede permanente de las instituciones autonómicas, sin perjuicio de que puedan reunirse en otros lugares de su territorio, con arreglo a las leyes (apartado 1) y prevé para ella un régimen especial aprobado por ley autonómica (apartado 2), coincide con lo prescrito en los arts. 3.3, 35, 54 y 87 EAAr, por lo que se ajusta al canon expuesto, de manera que la impugnación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recurso del presidente del Gobierno impugna en bloque los arts. 14 a 22, que integran el capítulo de la Ley dedicado a las “instituciones de autogobierno”, por vulnerar la reserva estatutaria del art. 147.2 CE. Más allá de esta denuncia genérica, la demanda solo ofrece una argumentación específica respecto de ciertos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respecto del apartado 4 del art. 14 (“Instituciones forales históricas”) —único apartado de dicho artículo que subsiste tras la STC 158/2019— no se detalla el motivo de su inconstitucionalidad. Dicho precepto regula la precedencia en los actos oficiales entre las autoridades e instituciones aragonesas, disponiendo que tenga en cuenta su carácter histórico. Como en el caso anterior, tal mandato encuentra fundamento en la competencia exclusiva sobre autogobierno (art. 71.1 EAAr) sin vulnerar la disposición adicional primera de la Constitución, como se deriva de la STC 158/2019, FJ 5 g). Por tanto, debemos desestimar su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Del art. 16 (“El Justicia de Aragón”) la demanda solo justifica específicamente la inconstitucionalidad del apartado 3, que ya ha sido anulado por la STC 158/2019. En cuanto a los apartados 1 y 2, el abogado del Estado no aporta ningún razonamiento que apoye su inconstitucionalidad aparte del genérico de regular una materia reservada al Estatuto. Este planteamiento no puede ser aceptado toda vez que las funciones del Justicia de Aragón que recoge el apartado 1 son sustancialmente las mismas que dispone el Estatuto de Autonomía de Aragón (art. 59.1); y la previsión del apartado 2 de que actúe como mediador entre las instituciones aragonesas y de estas con los ciudadanos, en los términos legalmente previstos, es un desarrollo de la regulación estatutaria del Justicia, acorde con el canon anteriormente expuesto. En este sentido, el propio Estatuto (art. 60) prevé que una ley de las Cortes de Aragón “concretará las funciones del Justicia”. La impugnación se desestima.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art. 17 (“La Presidencia de Aragón”) enuncia las funciones del presidente (apartado 1); singulariza la de promulgar las leyes aragonesas en nombre del rey y convocar, también en su nombre, el referéndum de ratificación de la reforma estatutaria (apartado 2); y dispone que el presidente responderá políticamente ante las Cortes de Aragón, a través de la cuestión de confianza y la moción de censura (apartado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convocatoria del referéndum de ratificación de la reforma estatutaria, el art. 115.7 EAAr atribuye dicha competencia al Gobierno de Aragón y no al presidente. Por tanto, al disponer que lo convoque el presidente, el art. 17.2, párrafo segundo, entra en contradicción con la norma estatutaria de forma que, conforme al canon aplicable, es inconstitucional y nulo. El resto del art. 17 concuerda, sin alteración alguna, con lo previsto en los arts. 45 a 52 del Estatuto, por lo que la impugnación debe rechazarse.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 idéntica conclusión llega este Tribunal respecto del art. 18, dedicado a la Diputación General de Aragón. Una vez que la STC 158/2019 ha declarado inconstitucional y nulo el inciso del apartado 1, que situaba el origen histórico de dicha institución en la Diputación del Reino, el resto del precepto viene a enumerar, en sus apartados 1 (prescindiendo del inciso eliminado) y 2, las funciones del gobierno autonómico; y, en los apartados 3 y 4, los órganos a cuyo control se somete (con cita de las Cortes, el Justicia, la Cámara de Cuentas y los juzgados y tribunales de justicia). En todos los casos lo hace con pleno respeto a las previsiones del Estatuto (arts. 53, 59, 63 y 112). Por tanto, la tacha de inconstitucionalidad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demanda denuncia específicamente que, al citar el art. 18.3 de la Ley los órganos de control del Gobierno autonómico y al referirse el art. 19 a la Cámara de Cuentas de Aragón como órgano de fiscalización externa, se omite toda alusión al Tribunal de Cuentas y a las competencias que le atribuyen —como supremo órgano fiscalizador económico-financiero del Estado y del sector público— el art. 136 CE y la Ley Orgánica 2/1982, de 12 de mayo, del Tribunal de Cuentas.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queja de inconstitucionalidad tampoco puede ser acogida. El silencio de una ley autonómica sobre la aplicación del bloque de la constitucionalidad no merece tacha, puesto que el mismo rige por su propia primacía, con independencia de su mención expresa en la legislación estatal o autonómica, según reiterada doctrina constitucional [entre otras muchas, SSTC 173/1998, de 23 de julio, FJ 14 a); 135/2006, de 27 de abril, FJ 6, y 208/2012, de 14 de noviembre,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aunque dicha salvaguardia no sea necesaria, el art. 112.1 del Estatuto de Autonomía de Aragón instituye la Cámara de Cuentas de Aragón como órgano fiscalizador de la gestión económico-financiera, contable y operativa del sector público de la Comunidad Autónoma de Aragón “sin perjuicio de las competencias que la Constitución atribuye al Tribunal de Cuentas”. Y así lo ratifica la Ley 11/2009, de 30 de diciembre, de la Cámara de Cuentas de Aragón, cuyo art. 3.2 dispone que sus funciones se “entienden sin perjuicio de las legalmente atribuidas al Tribunal de Cuentas, correspondiéndole también las que le sean delegadas por este en los términos previstos por su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art. 27 (“El Archivo del Reino de Aragón”) se impugna por las mismas razones ya analizadas y descartadas por la STC 158/2019, FJ 7 f), a la que ahora hemos de remitirnos para desestimar el recurso del presidente del Gobierno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De igual forma, la disposición adicional segunda (“Declaración de interés general a efectos expropiatorios”) ha sido enjuiciada por la citada STC 158/2019, sin que el abogado del Estado aporte ningún motivo de inconstitucionalidad diferente de los que hemos analizado en ella. Por consiguiente, debemos remitirnos a su fundamento jurídico 7 j) para reiterar la interpretación conforme del apartado 1, párrafo primero (en la parte subsistente tras anularse el inciso “y sus derechos históricos”) y para desestimar la impugnación del apartado 2.</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el recurso de inconstitucionalidad núm. 976-2019, interpuesto por el presidente del Gobierno, ha perdido sobrevenidamente su objeto para los siguientes artículos, apartados o incisos de artículos de la Ley de las Cortes de Aragón 8/2018, de 28 de junio, de actualización de los derechos históricos de Aragón:</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art. 1, apartados 1 y 2.</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art. 2, apartados 1 y 2, letras d) y e) [en este último caso exclusivamente respecto de la mención “pacto” que era impugnada].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arts. 3 y 4.</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art. 5, apartado 1 y apartado 2, letra b).</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art. 7, apartado 1, letra c).</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art. 9.</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art. 10, apartado 1.</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art. 14, apartados 1, 2 y 3.</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art. 15.</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art. 16, apartado 3.</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art. 18, apartado 1, inciso “tiene su origen histórico en la Diputación del Reino”.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art. 20.</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art. 21.</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art. 22.</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art. 25.</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art. 26, apartados 1, 2 y 3.</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art. 32, letra 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art. 33, apartado 5.</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disposición adicional segunda, apartado 1, párrafo primero, inciso “y sus derechos históricos” y párrafo segundo.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disposición adicional tercera.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disposición final tercera.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que el art. 17, apartado 2, párrafo segundo, es inconstitucional y nulo.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Declarar que el párrafo primero del apartado 1 de la disposición adicional segunda no es inconstitucional, siempre que se interprete en los términos establecidos en el fundamento jurídico 3 h) de esta resolución, que se remite a lo ya establecido por este Tribunal en el fundamento jurídico 7 j) de la STC 158/2019, de 12 de diciembre.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4º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enero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