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27 de enero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Antonio Narváez Rodríguez y don Ricardo Enríquez Sancho, en el recurso de amparo núm. 1589-2019, promovido por Penrei Inversiones,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marzo de 2019, la procuradora de los tribunales doña Blanca Berriatua Horta, en nombre y representación de la entidad Penrei Inversiones, S.L., y bajo la dirección de la letrada doña Anju Nirmala Benavent Rodríguez, interpuso recurso de amparo contra el auto del Juzgado de Primera Instancia e Instrucción núm. 6 de Lorca de 22 de enero de 2019, por el que se desestima el recurso de reposición interpuesto contra el auto de 19 de septiembre de 2018, por el que se inadmite el escrito de oposición a la ejecución hipotecaria en el procedimiento de ejecución hipotecaria núm. 65-2018.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del procedimiento de ejecución hipotecaria alegando que “la continuación de la ejecución derivada de los pronunciamientos judiciales que han sido objeto de impugnación,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sendas providencias de 25 de noviembre de 2019,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18 de diciembre de 2019, presentó alegaciones interesando que se deniegue la suspensión pero que se acuerde la anotación preventiva de la demanda de amparo, argumentando que la petición no aparece muy fundamentada y que el efecto protector deseado por la entidad demandante frente a la posible adjudicación a un tercero de buena fe del bien subastado se obtendría de manera mucho más eficaz mediante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entidad demandante, por escrito registrado el 8 de diciembre de 2019, presentó alegaciones reiterando su solicitud de suspensión, insistiendo en que con la celebración de subasta y la eventual adjudicación a terceros o a la entidad ejecutante el recurso de amparo perdería su finalidad y le provocaría perjuicios patrimoniales de imposible o difícil reparación. También pone de manifiesto que la posible adjudicación del bien inmueble a terceros de buena fe conllevaría situaciones irreversibles.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65-2018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(así,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la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2/2019, de 9 de enero, FJ 4, y 85/2019, de 15 de julio, a propósito de otros procedimientos hipotecarios, donde se plantearon los mismos argumentos que aquí para solicitar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65-2018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