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27 de enero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Antonio Narváez Rodríguez y don Ricardo Enríquez Sancho, en el recurso de amparo núm. 1594-2019,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marzo de 2019, la procuradora de los tribunales doña Blanca Berriatua Horta, en nombre y representación de la entidad Euroinversiones Inmobiliarias Costa Sur, S.L., y bajo la dirección del letrado don Marcelino Gilabert García, interpuso recurso de amparo contra el auto del Juzgado de Primera Instancia e Instrucción núm. 6 de Lorca de 22 de enero de 2019, por el que se desestima el recurso de reposición interpuesto contra el auto de 19 de septiembre de 2019, por el que se inadmite el escrito de oposición a la ejecución hipotecaria en el procedimiento de ejecución hipotecaria núm. 65-2018.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del procedimiento de ejecución hipotecaria alegando que “la continuación de la ejecución derivada de los pronunciamientos judiciales que han sido objeto de impugnación,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16 de diciembre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9 de enero de 2020, presentó alegaciones interesando que se deniegue la suspensión pero que se acuerde la anotación preventiva de la demanda de amparo, argumentando que la petición no aparece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demandante, por escrito registrado el 30 de diciembre de 2019, presentó alegaciones reiterando su solicitud de suspensión, insistiendo en que con la celebración de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conllevaría a situaciones irreversibles.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65-2018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2/2019, de 9 de enero, FJ 4, y 85/2019, de 15 de julio, a propósito de otros procedimientos hipotecarios, donde se plantearon los mismos argumentos que aquí para solicitar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65-2018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