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27 de enero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Antonio Narváez Rodríguez y don Ricardo Enríquez Sancho, en el recurso de amparo núm. 3537-2019, promovido por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 Con fecha 6 de junio de 2019 tuvo entrada en el registro general del Tribunal Constitucional un escrito de la procuradora doña Blanca Berriatua Horta, en representación de la entidad Euroinversiones Inmobiliarias Costa Sur, S.L., por el que interpuso recurso de amparo contra el auto de 23 de abril de 2019 del Juzgado de Primera Instancia e Instrucción núm. 5 de Lorca, que desestima el recurso de reposición interpuesto por la ahora actora frente al auto de 21 de septiembre de 2018, que inadmitió por extemporánea la demanda de oposición presentada en el seno de la ejecución hipotecaria 382-2018, promovida por Banco de Sabadell,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21 de septiembre de 2018, el Juzgado de Primera Instancia e Instrucción núm. 5 de Lorca dictó un auto en el procedimiento de ejecución hipotecaria núm. 382-2018 por el que acordó: “Inadmitir a trámite la oposición formulada por la parte ejecutada Penrei Inversiones, S.L., y Euro Inversiones Inmobiliarias Costa Sur, S.L.”,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Establece el artículo 695 LEC, que la parte ejecutada puede oponerse al despacho de ejecución en los términos de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23 de abril de 2019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13 de junio de 2018 no accediendo al contenido hasta el día 24 de julio de 2018 (fuera de los diez días naturales), presentando los escritos de oposición a la ejecución en fecha 31 de julio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[sic]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 23 de abril de 2019,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aquéllas, a fin de que el juzgado a quo admita a trámite la “demanda de oposición al despacho de ejecución formulada por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382-2018 seguido ante el Juzgado de Primera Instancia e Instrucción núm. 5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28 de octubre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al Juzgado de Primera Instancia e Instrucción núm. 5 de Lorca a fin de que, en plazo que no exceda de diez días, remita certificación o fotocopia adverada de las actuaciones correspondientes al procedimiento de ejecución hipotecaria núm. 382-2018;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el 28 de octubre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entidad recurrente presentó su escrito de alegaciones con fecha 5 de noviembre de 2019,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de celebrarse la subasta y la posible adjudicación del bien inmueble a terceros de buena fe, con “desposesión del bien ejecutado, conllevaría a situaciones irreversibles, con un inevitable perjuicio para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ante este Tribunal Constitucional formalizó su escrito de alegaciones en esta pieza el 15 de noviembre de 2019, interesando que se adopte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56.2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al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finalmente en que es procedente la medida de anotación preventiva “que haría que lo que consta en el registro de la propiedad fuera fiel reflejo de la realidad, evitando situaciones cuya reversibilidad sería que imposible [sic]”.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382-2018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382-2018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