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3541-2019,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junio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23 de abril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21de septiembre de 2018, el Juzgado de Primera Instancia e Instrucción núm. 5 de Lorca dictó un auto en el procedimiento de ejecución hipotecaria núm. 382-2018 por el que acordó: “Inadmitir a trámite la oposición formulada por la parte ejecutada Penrei Inversiones, S.L., y Euroinversiones Inmobiliarias Costa Sur, S.L., […] por estar presentada fuera de plazo, contra Banco Sabadell, S.A.”,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puede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23 de abril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23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el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382-2018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25 de noviembre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testimonio de las correspondientes actuaciones, diríjase igualmente atenta comunicación al Juzgado de Primera Instancia e Instrucción número 5 de Lorca, a fin de que, en plazo que no exceda de diez días, se proceda a emplazar a quienes hubieran sido parte en el procedimiento, excepto la parte recurrente en amparo, para que en el plazo de diez días puedan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25 de noviembre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3 de diciembre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10 de diciembre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sintéticamente la doctrina general del Tribunal Constitucional sobre el carácter excepcional y la aplicación necesariamente restrictiva de la medida de suspensión de las resolución impugnada en amparo, considera que “en el presente caso, la petición de suspensión del procedimiento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Añade el fiscal que “[a]cordar la suspensión comportaría la drástica medida que supondría la paralización del procedimiento ejecutivo, que por su propia naturaleza goza de las características de celeridad y sumariedad”. Considera por ello “[m]ucho más eficaz para conseguir el efecto protector deseado por la recurrente”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 amparo en su caso, evitando que el hipotético tercero adquirente qued[e] especialmente protegido por su buena fe en la adquisición”. Con cita del ATC 95/2015, de 25 de mayo, estima el fiscal que el propio Tribunal Constitucional ha admitido la posibilidad de adoptar este tipo de tutela cautelar en casos similares, al amparo del art. 56.3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fiscal que “la aplicación al caso de la doctrina reseñada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382-2018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382-2018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