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24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la magistrada doña María Luisa Balaguer Callejón, en el recurso de amparo núm. 3538-2019, promovido por la entidad Penrei Inversiones, S.L., en autos del Juzgado de Primera Instancia e Instrucción núm. 5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junio de 2019, la entidad Penrei Inversiones, S.L., representada por la procuradora de los tribunales doña Blanca Berriatua Horta y bajo la dirección de la letrada doña Anju Nirmala Benavent Rodríguez, interpuso recurso de amparo contra los autos de 21 de septiembre de 2018 y de 23 de abril de 2019, dictados por el Juzgado de Primera Instancia e Instrucción núm. 5 de Lorca, en el procedimiento de ejecución hipotecaria núm. 392-2018,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392-2018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43.242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6 de junio de 2018 se acordó despachar ejecución frente las sociedades demandadas por la cantidad de 2.248,32 € de principal y 2.400 € presupuestados inicialmente para intereses y costas. El citado auto y el decreto de la misma fecha que le sigue fueron comunicados a las citadas sociedades a través de la sede judicial electrónica el día 13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con fecha 31 de julio de 2018. Por auto de 21 de septiembre de 2018 se acordó su inadmisión por considerar la pretensión extemporánea, tomando como fecha de notificación el 13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13 de junio de 2018, sino el 24 de julio siguiente, fecha en la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24 de julio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23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273.3 LEC. Según el auto, en el presente caso “consta que la notificación se puso a disposición de las recurrentes en fecha 13 de junio de 2018, no accediendo al contenido hasta el día 24 de julio de 2018 (fuera de los tres días que establece la normativa procesal), presentando los escritos de oposición a la ejecución en fecha 31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enero de 2020 la Sección Segunda de este Tribunal acordó admitir a trámite el recurso de amparo y dirigir comunicación al Juzgado de Primera Instancia e Instrucción núm. 5 de Lorca, a fin de que, en plazo que no exceda de diez días emplace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3 de febrero de 2020 la parte demandante formuló sus alegaciones, reiterando lo expuesto en el otrosí de su demanda y trascribiendo como fundamento de su pretensión lo expresado en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11 de febrero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392-2018,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(AATC 81/2019, de 15 de julio, 148, 155/2019 y 156/2019, de 25 de noviembre, FFJJ 3; y 170/2019, 171/2019, 173/2019, 174/2019, y 177/2019, de 16 de diciembre, FFJJ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FFJJ 3, y 170/2019, 171/2019, 173/2019, 174/2019, y 177/2019, FFJJ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392-2018,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