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24 de febrero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6079-2019, promovido por Euroinversiones Inmobiliaria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octubre de 2019, tuvo entrada en el registro general de este Tribunal Constitucional un escrito de la procuradora doña Blanca Berriatua Horta, en representación de la entidad Euroinversiones Inmobiliaria Costa Sur, S.L., por el que interpuso recurso de amparo contra el auto de 21 de septiembre de 2018 del Juzgado de Primera Instancia e Instrucción núm. 5 de Lorca, que inadmitió el escrito de oposición a la ejecución hipotecaria promovida por Banco de Sabadell, S.A., y contra el auto del mismo juzgado, de 10 de septiembre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21 de septiembre de 2018, el juzgado de primera instancia e instrucción ya indicado dictó un auto en el procedimiento de ejecución hipotecaria núm. 284-2018 por el que acordó: “Inadmitir a trámite la oposición formulada por la parte ejecutada Euro Inversiones Inmobiliarias Costa Sur, S.L. […] por estar presentada fuera de plazo”,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10 de septiembre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del procedimiento administrativo común de las administraciones públicas y art. 273.3 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afirmar que “[i]nterpretan las recurrentes de forma errónea la normativa aplicable”, con cita de los arts. 162.2 LEC, 33.2 y 34 de la Ley 18/2011, de 5 de julio, reguladora del uso de las tecnologías de la información y comunicación en la administración de justicia, y el art. 11.2 del Real Decreto 1065/2015, de 27 de noviembre, sobre comunicaciones electrónicas en la administración de justicia y en el ámbito territorial del Ministerio de Justicia y por el que se regula el sistema lexnet; y referirse al acuerdo no jurisdiccional del Pleno de la Sala Cuarta del Tribunal Supremo de 6 de julio de 2016, acerca del cómputo del plazo de tres días del art. 162.2 LEC, así como a un informe del Colegio de Registradores de la Propiedad en relación con las notificaciones electrónicas, el juzgado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9 de mayo de 2018 no accediendo al contenido hasta el día 24 de junio de 2018 (fuera de los diez días que establece la normativa procesal), presentando los escritos de oposición a la ejecución en fecha 9 de julio de 2018 claramente fuera del plazo legalmente establecido en el art. 556.1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155 y 162 de la misma ley.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fundamentos jurídicos 2 a 5 de dicha STC 47/2019.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10 de septiembre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aquellas,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284-2018 seguido ante el Juzgado de Primera Instancia e Instrucción núm. 5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Cuarta, Sala Segunda, de este Tribunal Constitucional, dictó diligencia de ordenación el 30 de octubre de 2019 solicitando al juzgado a quo la remisión de certificación o fotocopia adverada de las actuaciones correspondientes del procedimiento de ejecución hipotecaria núm. 284-2018.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dictó providencia el 27 de enero de 2020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obrando ya en esta Sala testimonio de las actuaciones jurisdiccionales, diríjase atenta comunicación al Juzgado de Primera Instancia e Instrucción núm. 5 de Lorca a fin de que, en plazo que no exceda de diez días, se proceda a emplazar a quienes hubieran sido parte en el procedimiento de ejecución hipotecaria número 284-2018, excepto la parte recurrente en amparo, para que en el plazo de diez días puedan comparecer, si lo desean,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Fórmese pieza separada para la sustanciación de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Cuarta de este Tribunal en la misma fecha de la admisión del recurso, el 27 de enero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recurrente presentó su escrito de alegaciones con fecha 5 de febrero de 2020,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fiscal ante este Tribunal Constitucional formalizó su escrito de alegaciones en esta pieza el 11 de febrero de 2020,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 LOTC y doctrina general sobre la procedencia de la suspensión del acto impugnado en amparo, señala que este Tribunal ha establecido como criterio general, “que no procede suspender la ejecución de aquellos fallos judiciales que admiten la restitución íntegra de lo ejecutado (como de ordinario ocurre, aunque no sin excepciones, en las condenas de contenido patrimonial)”. Que no obstante ello, “tampoco las condenas de contenido patrimonial pueden quedar absolutamente marginadas de la posibilidad de suspenderse, habrá que valorar en estos casos, con especial énfasis que no se produzca perjuicio para el interés general, lo que normalmente no ocurrirá en los pleitos puramente civiles, y de manera más concreta que no se acabe implicando los derechos presentes o futuros de terceros que puedan acabar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Aplicando la doctrina a la solicitud formulada por la recurrente, se entiende por el fiscal que la misma “no parece muy fundamentada […] ya que se limita a la mera petición sin explicitar ninguna razón salvo la mera pérdida de finalidad del recurso en el caso de que llegara a celebrarse la subasta de los bienes inmuebles en conflicto y su adjudicación a un tercero que actuaría de buena fe. Acordar la suspensión solicitada comportaría la drástica medida que supondría la paralización del procedimiento ejecutivo, que por su propia naturaleza goza de las características de celeridad y sumariedad. Mucho más eficaz para conseguir el efecto protector deseado por la recurrente sería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quede especialmente protegido por su buena fe en la adquisición”.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no tiene dudas de que este Tribunal puede acordar dicha medida, ex art. 56.3 LOTC, conforme tiene establecido nuestra doctrina, con cita del ATC 95/2015, de 25 de mayo, FJ 4. Entiende que “nos encontramos en uno de esos supuestos en que tratándose de un [sic]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284-2018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Euro Inversiones Inmobiliarias Costa Sur, S.L.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284-2018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