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38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9 de marzo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y los magistrados don Fernando Valdés Dal-Ré, don Juan Antonio Xiol Ríos, don Pedro José González-Trevijano Sánchez, don Antonio Narváez Rodríguez y don Ricardo Enríquez Sancho, en el recurso de amparo núm. 6089-2019,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25 de octubre de 2019 tuvo entrada en el registro general del Tribunal Constitucional un escrito de la procuradora de los tribunales doña Blanca Berriatua Horta, en representación de la entidad Euroinversiones Inmobiliarias Costa Sur, S.L., por el que interpuso recurso de amparo contra el auto de 10 de septiembre de 2019 del Juzgado de Primera Instancia e Instrucción núm. 5 de Lorca, que desestima el recurso de reposición interpuesto por la ahora actora frente al auto de 21 de septiembre de 2018, que inadmitió por extemporánea la demanda de oposición presentada en el seno de la ejecución hipotecaria 365-2018, promovida por Banco de Sabadell,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21 de septiembre de 2018, el Juzgado de Primera Instancia e Instrucción núm. 5 de Lorca dictó un auto en el procedimiento de ejecución hipotecaria núm. 365-2018 por el que acordó: “Inadmitir a trámite la oposición formulada por la parte ejecutada Euroinversiones Inmobiliarias Costa Sur, S.L.”, advirtiendo en pie de recurso que contra dicha resolución cabía recurso de reposición.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de la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de la L.E.C., que la parte ejecutada puede oponerse al despacho de ejecución en los términos de dicho artículo y en el plazo de díez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10 de septiembre de 2019 desestimándolo, con confirmación de la resolución recurrida, en virtud de los motivos expresados en su razonamiento jurídico segundo: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consta que la notificación se puso a disposición de las recurrentes en fecha 13 de junio de 2018 no accediendo al contenido hasta el día 24 de julio de 2018 (fuera de los tres días que establece la normativa procesal), presentando los escritos de oposición a la ejecución en fecha 3 de septiembre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“Notifíquese esta resolución a las partes personadas, haciéndoles saber que es firme, y contra la misma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LEC, en relación con los arts. 135, 152, 162 y 155 de la misma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21 de septiembre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21 de septiembre de 2019, que desestimó la reposición, se rechaza por la recurrente que haya fundamentado su decisión en la Ley de procedimiento administrativo común, “que consideramos inaplicable al ámbito procesal civil, puesto que además de existir normas concretas al respecto, no se dan en uno y otro ámbito las mismas garantías procedimentales”; siendo que en materia de notificación de actos procesales existe su propia normativa tanto en la Ley de enjuiciamiento civil —los artículos arriba citados—, como en el haz de garantías del propio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“oposición al despacho de ejecución formulada por Euroinversiones Inmobiliarias Costa Sur,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365-2018 seguido ante el Juzgado de Primera Instancia e Instrucción número 5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11 de febrero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porque el recurso plantea un problema o afecta a una faceta de un derecho fundamental sobre el que no hay doctrina de este Tribunal [STC 155/2009, FJ 2 a)], así como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diríjase atenta comunicación al Juzgado de Primera Instancia e Instrucción núm. 5 de Lorca a fin de que, en méritos al procedimiento de ejecución hipotecaria núm. 365-2018, proceda a emplazarse, para que en el plazo de diez días, puedan comparecer, si lo desean, en el recurso de amparo a quienes hubieran sido parte en el procedimiento, excepto la parte recurrente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conformidad con la solicitud de la parte actora, fórmese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11 de febrero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14 de febrero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harían perder al recurso de amparo su finalidad y provocarían perjuicios patrimoniales para mi representada de imposible o difícil reparación”. Invoca a su favor lo resuelto por este Tribunal en su ATC 287/2013, de 16 de diciembre, reiterando a renglón seguido las vulneraciones constitucionales de fondo que aduce en su demanda, e indicando que de celebrarse la subasta y la posible adjudicación del bien inmueble a terceros de buena fe, con “desposesión del bien ejecutado, conllevaría a situaciones irreversibles, con un inevitable perjuicio para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25 de febrero de 2020,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hacer cita del art. 56.1 LOTC y destacar la necesidad de acreditar por el interesado la existencia de un perjuicio irreparable, para poder acordarse la suspensión de los actos impugnados en amparo, sostiene el fiscal que, en el presente caso, la suspensión solicitada comportaría la paralización del procedimiento ejecutivo que, por su propia naturaleza, goza de las características de celeridad y sumariedad pero, también es obvio que, de continuar al procedimiento, este acabará con la subasta del bien hipotecado y con la eventual adjudicación a un tercero de buena fe, lo que haría irreversible esa situación aun cuando el amparo solicitado prosperara. Para conseguir el efecto protector deseado por la recurrente y enervar los indeseados efectos de la paralización del procedimiento, se puede acordar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queda especialmente protegido por su buena fe en la adquisición.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Insiste finalmente en que es procedente la medida de anotación preventiva, lo que puede adoptar este Tribunal, de oficio o a instancia de parte, de conformidad con lo dispuesto en el art. 42.1 de la Ley hipotecaria.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365-2018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el carácter no reparable o la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de la que se ha hecho mención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106/2017, de 17 de julio, FJ 3; 88/2018, de 17 de septiembre, FJ 5, y 2/2019, de 9 de enero,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365-2018,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marzo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