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19 de mayo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Andrés Ollero Tassara y la magistrada doña María Luisa Balaguer Callejón, en el recurso de amparo núm. 1188-2020, promovido por don José Manuel Ramírez Sineiro contra providencia y sentencia de la Sala de lo Civil del Tribunal Supremo en recurso de casación 4577-2018,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1188-2020 se impugna la sentencia de la Sala de lo Civil del Tribunal Supremo de 14 de noviembre de 2019 y la providencia de 21 de enero de 2020 dictada por la misma sala por la que se inadmite el incidente de nulidad de actuaciones interpuesto contra la referida sentencia, dictadas en el recurso de casación e infracción procesal núm. 4577-2018.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8 de mayo de 2020 el magistrado don Santiago Martínez-Vares García comunicó a los efectos oportunos que se abstenía de intervenir en el antes indicado recurso de amparo, de conformidad con el artículo 80 de la Ley Orgánica del Tribunal Constitucional, por concurrir la causa de abstención prevista en el artículo 219.9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Santiago Martínez-Vares García, magistrado de esta Sección Segunda del Tribunal Constitucional, la Sección, en virtud de lo previsto en el artículo 219.9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Santiago Martínez-Vares García en el recurso de amparo núm. 1188-2020,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