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5808-2018, promovido por Euroinversiones Inmobiliarias Costa Sur, S.L., contra el auto del Juzgado de Primera Instancia e Instrucción núm. 3 de Lorca, de fecha 3 de julio de 2018, que inadmitió la demanda de oposición a la ejecución formulada por dicha mercantil, en el procedimiento de ejecución hipotecaria núm. 108-2018; y contra el auto del mismo juzgado, de fecha 26 de septiembre de 2018,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noviembre de 2018, la procuradora de los tribunales doña Blanca Berriatua Horta, actuando en nombre y representación de Euroinversiones Inmobiliarias Costa Sur, S.L., y asistida por 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hipotecaria contra las mercantiles Euroinversiones Inmobiliarias Costa Sur, S.L., y Penrei Inversiones, S.L., relativa a la finca inscrita con el núm. 43.463 en el Registro de la Propiedad núm. 3 de Lorca. La cantidad reclamada era de 2 146,62 €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día 20 de abril de 2018, por el que acordó el despacho de ejecución en el procedimiento de ejecución hipotecaria núm. 108-2018;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el cual dispuso la expedición de mandamiento de certificación de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26 de abril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EJH/0000108/2018”; notificación a la que podía acceder entre los días 26 de abril a 11 de junio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en fecha 10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11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 día siguiente, 11 de junio de 2018, por personal de la recurrente se accedió al enlace remitido por la dirección electrónica habilitada y, con ello, a la notificación enviada por el juzgado de primera instancia ejecutante, en relación con el procedimiento hipotecario núm. 108-2018.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25 de junio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en fecha 3 de julio de 2018, con esta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Euroinversiones Inmobiliarias Costa Sur, S.L., representada por el procurador don Antonio Serrano Caro por presentación fuera de plazo, contra Banco Sabadell, S.A.</w:t>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puede oponerse al despecho de ejecución en los términos previstos en dicho artículo y en el término de diez días, a contar desde el siguiente notificación del auto y decreto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la demandante de amparo se interpuso recurso de reposición contra el anterior auto. En el mismo alegó que la comunicación remitida a través de la dirección electrónica habilitada no puede entenderse más que como un aviso de puesta a disposición o descarga de su contenido durante un plazo determinado; en este caso, desde el 26 de abril al 11 de junio de 2018. De ahí que al haber accedido a dicha comunicación el día 11 de junio de 2018, es en ese día cuando debe entenderse efectuada la notificación, siendo desde entonces cuando cabía computar el plazo de diez días del art. 556 de la Ley de enjuiciamiento civil (LEC). Por tanto, como el escrito de oposición se consignó el 25 de junio de 2018 antes de las 15 horas (último día del plazo legal), dicho escrito se interpuso de manera temporánea. Y entenderlo de otro modo, además de infringir los arts. 135, 152, 160, 162 LEC, vulneraría el derecho a la tutela judicial efectiva sin indefensión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26 de septiembre de 2018, el recurso de reposición fue desestimado, al igual que el interpuesto por la otra entidad ejecutada, con los argumentos que constan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LPAAP y art. 273.3 a) LEC]. Interpretan los recurrentes de forma errónea la normativa aplicable. Es cierto que la notificación por medios electrónicos efectivamente se realiza cuando el destinatario accede a su contenido. Ahora bien, hierran en el plazo en el que puede acceder a su contenido a efectos de la práctica de la notificación, el cual es de diez días naturales desde la puesta a su disposición y ello por imperativo del artículo 43 de la citada LPACAP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26 de abril de 2018 no accediendo al contenido hasta el 11 de junio de 2018 (fuera de los diez días naturales), presentando los escritos de oposición a la ejecución en fecha 22 de junio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establece el art. 273 LEC, cuando se trata del primer emplazamiento y, por tanto, todavía aquélla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26 de septiembre de 2018, que desestimó el recurso de reposición promovido contra la anterior resolución —y del que se resumen sus argumentos—, se rechaza por la recurrente que el juzgado haya fundamentado su decisión en la Ley del procedimiento administrativo común, norma que considera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también que el auto de 26 de septiembre de 2018 “huye de este tipo de consideraciones” al aplicar una normativa administrativa ajena al ámbito procesa y prescindir, a su vez, de las previsiones del art. 273 LEC sobre la exigencia de presentación en papel de la documentación referida al primer emplazamiento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que este Tribunal Constitucional estime el recurso del amparo, acuerde la nulidad de las resoluciones judiciales impugnadas y ordene reponer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Sala Segunda, Sección Tercera de este tribunal, de fecha 5 de septiembre de 2019, se acordó oficiar al Juzgado de Primera Instancia e Instrucción núm. 3 de Lorca, para que remitiera, a la mayor brevedad posible, certificación acreditativa de la interposición o no de un recurso de apelación contra alguna de las resoluciones dictadas, en las actuaciones principales o en alguna pieza separada, en el procedimiento de ejecución hipotecaria seguido en ese juzgado con el número 108-2018; y si hubiera recaído resolución en el sentido apuntado, que se remita a esta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certificación de fecha 17 de septiembre de 2019, la letrada de la administración de justicia hizo constar que en el procedimiento citado no se había interpuesto ningún recurso de apelación por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28 de octubre de 2019, la Sección Tercera de este Tribunal acordó admitir a trámite el recurso de amparo, al apreciar que concurre en el mismo una especial trascendencia constitucional [art. 50.1 Ley Orgánica del Tribunal Constitucional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con arreglo a lo dispuesto en el art. 51 LOTC, dirigir atenta comunicación al Juzgado de Primera Instancia e Instrucción núm. 3 de Lorca, a fin de que, en un plazo que no excediera de diez días, remitiera certificación o fotocopia adverada de las actuaciones correspondientes al procedimiento de ejecución hipotecaria núm. 108-2018; debiendo emplazar previamente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día 22 de noviembre del 2019, la procuradora de los tribunales doña Blanca María Grande Pesquero, en nombre y representación de la entidad Pera Assets Designated Activity Company, sucesora procesal del Banco Sabadell, S.A., y asistida del letrado don Alejandro Ingram Solís, solicitó que se tuviera a la primera de las entidades citadas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fecha 13 de enero del 2020, la secretaría de la Sala Segunda de este Tribunal acordó tener por personada y parte en el procedimiento a la procuradora doña Blanca María Grande Pesquero, en nombre y representación de Pera Assets Designated Activity Company, debiéndose entender con aquella las sucesivas actuaciones. Asimismo, resolvió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presentó escrito de alegaciones el día 29 de enero de 2020. Tras resumir los acontecimientos procesales que considero de interés y el fundamento de la pretensión de la entidad recurrente, trae a colación la doctrina constitucional relativa a la forma de practicar las notificaciones y su vinculación con el derecho a la tutela judicial efectiva sin indefensión (art. 24.1 CE). En primer lugar, invoca el contenido de la STC 32/2019, de 29 de febrero, en cuyo FJ 4 aparece compendiada la posición del Tribunal Constitucional sobre el especial deber de garantizar la efectividad de los actos de comunicación procesal, dada su vinculación con el derecho fundamental antes indicado. Luego trae a colación la STC 6/2019, de 17 de enero, cuyo fundamento jurídico 3 transcribe en su integridad; más adelante cita la normativa procesal que estima de aplicación al caso; y, a modo de conclusión, sostiene que, incluso en relación con las personas jurídicas, cuando se trata de la primera notificación, supuesto en el que está en juego la más elemental de las manifestaciones de la tutela judicial efectiva, el legislador ha previsto la obligatoriedad de la notificación personal en el domicilio (art. 155.1 LEC) “y, respecto de las copias, su aporte en papel”. A este supuesto se hace referencia, como excepción a la notificación por medios electrónicos, en la citada STC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invoca la argumentación que obra en el fundamento jurídico 4 de la STC 47/2019, de 8 de abril, y colige que, el juzgado no solo ignoró la aplicación de los arts. 155 y 273 LEC, al no efectuar la primera notificación de manera personal, sino que también se desentendió de constatar si la notificación efectuada a través de la dirección electrónica habilitada había llegado a su destinatario; por lo que no obró con la diligencia que le era exigible. Finalmente, apunta que el aviso recibido por la demandante es solo una forma de facilitar el conocimiento de la notificación, pero no forma parte de ella. La notificación se cumplimenta con independencia de ese aviso, “teniendo sus criterios de eficacia y garantía al margen de ese aviso y computándose los plazos con independencia de los plazos de permanencia del aviso a disposición del destinatario, que es la fecha que parece confundir a la recurrente con la determinante de la citación efectuada”. Por ello, a juicio del fiscal, la notificación electrónica está correctamente realizada, pues el error judicial determinante de la vulneración del art. 24 CE fue optar por la notificación por medios electrónicos, cuando lo procedente, conforme a lo dispuesto en el art. 155 LEC “era la personal domiciliaria”.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interesa el otorgamiento del amparo a la entidad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108-2018”, y retrotraer de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fecha 29 de enero de 2020 presentó sus alegaciones la entidad codemandada, quien interesa la denegación del amparo. Niega que se haya producido la lesión constitucional alegada, al entender que lo que realmente pretende la recurrente es dilatar el procedimiento de ejecución hipotecaria. Tras invocar el principio de improrrogabilidad de los plazos procesales que reconoce el art. 134 LEC y la obligación, a cargo de las personas jurídicas, de relacionarse con la administración de justicia por medios electrónicos, a partir del 14 de enero del 2017 (disposición transitoria cuarta de la Ley 42/2015, de 5 de octubre, de reforma de la Ley de enjuiciamiento civil y art. 273 tercera LEC), muestra su conformidad con la decisión adoptada por el órgano judicial en los dos autos impugnados. Para la codemandada, la presentación del escrito de oposición a la ejecución se realizó “claramente fuera del plazo legalmente establecido en el artículo 556.1 LEC”. Siendo por tanto correcta la remisión de la notificación a través de la dirección electrónica habilitada, ésta debía tenerse por efectuada una vez transcurridos tres días hábiles, sin que la entidad destinataria accediera a su contenido conforme prevé el art. 162.2 LEC y, en intelección de este precepto, el acuerdo no jurisdiccional del Pleno de la Sala Cuarta del Tribunal Supremo, de 6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12 de febrero de 2020 presentó sus alegaciones la entidad demandante de amparo. Como primera cuestión y a fin de evitar repeticiones innecesarias, se reiteró en lo ya expuesto en su escrito de interposición del recurso de amparo, si bien hizo especial hincapié en la “recientísima Sentencia de la Sala Segunda del Tribunal Constitucional STC 47/2019, de 8 de abril de 2019 […], que no solo confirma todo lo dicho en nuestro escrito de interposición del recurso de amparo, sino que lo refuerza, en el sentido de que, tratándose del primer emplazamiento o citación al demandado, éste ha de efectuarse en el domicilio del litigante, como impone el artículo 155.1 de la Ley de enjuiciamiento civil, y que todas las normas que se hace mención en el auto recurrido, para nada cuestionan el carácter imperativo de esa obligación”. A tal efecto, el escrito reprodujo gran parte de los FFJJ 2 a 4 de dicha STC 47/2019, cerrando con esto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Finalmente, mediante providencia de fecha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mediante un cómputo de plazo realizado con arreglo a normas del procedimiento administrativo común. En concreto, en el presente recurso se impugnan los autos del Juzgado de Primera Instancia núm. 3 de Lorca, de fechas 3 de julio de 2018 y 26 de septiembre de 2018, recaídos en el proceso de ejecución hipotecaria núm. 108-2018.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Aduce, además, otras dos quejas por lesión del derecho a un proceso con todas las garantías (art. 24.2 CE), en su faceta de defensa contradictoria; y del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3 se resuelve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fechas 3 de julio de 2018 y 26 de septiembre de 2018, dictados por el Juzgado de Primera Instancia e Instrucción núm. 3 de Lorca en el proceso de ejecución hipotecaria núm. 108-2018,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