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500-2019, promovido a instancia de doña Pilar Prado Torres, representada por el procurador de los tribunales don Manuel María Martínez de Lejarza Ureña y asistida por el letrado don Jesús Manuel Guzmán Ruiz, contra la sentencia de 5 de diciembre de 2018 de la Sala de lo Social del Tribunal Superior de Justicia de Andalucía, dictada en el recurso de suplicación núm. 1546-2018, y la sentencia de 10 de mayo de 2018, del Juzgado de lo Social núm. 6 de Málaga, recaída en los autos núm. 100-2018. Ha comparecido y efectuado alegaciones la agencia pública empresarial sanitaria Costa del Sol, representada por la procuradora de los tribunales doña Úrsula Cabezas Manjavacas y defendida por el letrado don Andrés Sedeño Ferrer.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23 de enero de 2019 tuvo entrada en el registro general de este tribunal la demanda de amparo presentada por el procurador de los tribunales don Manuel María Martínez de Lejarza, en nombre y representación de doña Pilar Prados Torres, contra las resoluciones judiciales antes mencionadas por las que se desestimó su demanda frente a la agencia pública empresarial sanitaria Costa del 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de amparo y que son recogidos en el relato de hechos probados de las resoluciones judiciales recurridas, sucintamente expuestos, son los que a continuación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Pilar Prados Torres (en adelante, la recurrente) viene prestando servicios como médico del servicio de urgencias en el hospital Costa del Sol de Marbella (Málaga). La jornada anual ordinaria para los médicos de urgencias es de 1523 horas (siete horas al día), a lo que se unen 440 horas más en concepto de jornada anual complementaria, por realización de guardias (cuarenta y cuatro guardias de diez horas cada una de ellas). Estas guardias, que resultan obligatorias, generan un descanso en el día posterior —saliente de guardia— de veinticuatro horas, y de ellas, se computan como trabajadas siete horas por saliente. En las citadas 1523 horas anuales de jornada se encuentran incluidas no solo las horas realmente realizadas, sino también la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29 de noviembre de 2017, la recurrente solicitó a la empresa una reducción de su jornada laboral para atender al cuidado de hijo en un 33 por 100, al amparo del art. 37.6 del texto refundido de la Ley del estatuto de los trabajadores y del art. 23 del convenio colectivo de la agencia pública empresarial sanitaria Costa del Sol. La reducción solicitada se aplicó en términos anuales, de tal forma que las horas trabajadas por cada jornada y cada guardia no sufrieron reducción alguna (siete y diez horas, respectivamente), sino que lo que se vio afectado fue el número total de días y guardias al año, pasando a ser treinta guardias y 1020,41 horas de jornada habitual al año (en lugar de las cuarenta y cuatro y 1523).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del director gerente de la agencia pública empresarial sanitaria Costa del Sol, de 29 de diciembre de 2017, se le reconoció a la recurrente el derecho a la reducción de jornada en un 33 por 100 con efectos desde el 1 de enero de 2018, fijándose la jornada ordinaria reducida a realizar en 879,71 horas anuales. Habiéndose fijado una cantidad de horas superior a la calculada por la recurrente, presentó reclamación previa que fue desestimada mediante resolución de 16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con el cálculo de la jornada reducida que había realizado su empleadora, la recurrente presentó demanda en materia de reducción de jornada a la que acumuló acción de daños y perjuicios, así como de tutela de derechos fundamentales y libertades públicas. En ella denunció la existencia de una desigualdad de trato entre trabajadores a tiempo completo y con jornada reducida debido al diferente modo en el que se computó el trabajo efectivo derivado de cada saliente de guardia al calcular la reducción de su jornada laboral. Si cada guardia de diez horas debía generar siete horas de descanso retribuido efectivo por saliente de guardia (lo que debía suponerle 210 horas por realizar treinta guardias), según los cálculos realizados por la empresa tan solo se le debían reconocer 140,7 horas. Tal diferencia se debía a que la empresa aplicaba también la reducción del 33 por 100 (esto es, el porcentaje de reducción de jornada solicitado) sobre el descanso retribuido por saliente de guardia. Se solicitó, en consecuencia, que se reconociese la infracción del art. 14 CE y que se aceptase la reducción en los términos interesados, sobre la base de que teniendo las guardias la misma duración, el descanso retribuido por saliente de guardia debía ser el mismo en situación de reducción de jornada. Además, reclamó una indemnización de 1000 € por cada jornada que la empresa le obligase a hacer de más, y otra de 6250 € en concepto de daños por la lesión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fue desestimada mediante sentencia del Juzgado de lo Social núm. 6 de Málaga, de 10 de mayo de 2018, que descartó que se hubiese producido un error en el cálculo efectuado por la empresa en la determinación del número de horas anuales que debía prestar servicios la actora atendiendo a la reducción de la jornada en un 33 por 100. En tal sentido, se señaló que las guardias se le redujeron de cuarenta y cuatro a treinta, y que las horas de “saliente de guardia” se disfrutaban e imputaban dentro de la jornada ordinaria, por lo que a esta última (1523 horas) se habían de restar, como así hizo la empresa, las 210 horas de “salientes de guardia” (ya reducida), lo cual daba un resultado de 1313 horas, cantidad sobre la que debía aplicarse después la reducción de jornada del 33 por 100. En suma, el juzgado concluyó que la jornada anual de la actora, una vez reducida en tal porcentaje, era de 879,71 horas, tal y como había calculado la demandada. No apreciándose error en los cálculos, se negó la existencia de la discriminación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recurrente presentó dos escritos solicitando la aclaración y complemento de la sentencia del juzgado al amparo del art. 267 Ley Orgánica del Poder Judicial (LOPJ) con relación a dos extremos, a saber, de un lado, la existencia de un error en la fundamentación, al afirmarse que la actora no había alegado en su demanda la existencia de una condición más beneficiosa; y, de otro lado, la falta de pronunciamiento sobre una de las peticiones declarativas de derechos realizadas en la demanda. Se accedió a la primera aclaración mediante auto del juzgado, de 21 de mayo de 2018, que procedió a la subsanación del error advertido en la fundamentación de la sentencia, siendo desestimada la otra petición de complemento de la sentencia por medio de auto de 17 de mayo de 2018, por incompatibilidad de la petición con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citada sentencia la recurrente formuló recurso de suplicación, que fue desestimado mediante sentencia de la Sala de lo Social del Tribunal Superior de Justicia de Andalucía, sede de Málaga, de 5 de diciembre de 2018, que confirmó lo decidido en la instancia al considerar que el cálculo realizado por la demandada era correcto ya que procedía aplicar la reducción del 33 por 100 no solo a la jornada ordinaria sino también a las horas de trabajo efectivo reconocidas por saliente de guardia. En consecuencia, se negó la infracción del art. 14 CE y se rechazó el derecho a la indemnización reclamada por lesión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recurrente presentó escrito al amparo del art. 267.5 LOPJ quejándose de que se había procedido a convalidar el cómputo realizado por la administración demandada sin llegar a analizarse el fondo del recurso, esto es, la discriminación que suponía la aplicación de dicho cómputo en relación con los demás trabajadores. Se indicó, en tal sentido, que eran seis los argumentos de esa parte para sustentar la discriminación y que no se había contestado a ninguno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medio de auto de 13 de diciembre de 2018 se desestimó la solicitud de complemento de sentencia al no compartir la Sala la valoración realizada por la parte actora. Se subrayó que en la sentencia cuestionada se había considerado por la Sala que el cálculo realizado por la demandada, utilizando un parámetro distinto al de la actora, era correcto y desmontaba la supuesta discriminación alegada. Y que, de no estar de acuerdo la parte con la argumentación ofrecida al respecto, podía acudir al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frente a la sentencia de 5 de diciembre de 2018 de la Sala de lo Social del Tribunal Superior de Justicia de Andalucía (recurso núm. 1546-2018) y la sentencia de 10 de mayo de 2018, del Juzgado de lo Social núm. 6 de Málaga (autos núm. 100-2018) por vulneración del derecho a la igualdad y no discriminación (art. 14 CE) como consecuencia del ejercicio del derecho a la reducción de jornada por cuidado de hijos. Afirma la parte recurrente que al calcular la empresa la reducción de la jornada solicitada realiza un cómputo de los salientes de guardia que quebranta el referido derecho fundamental, ya que por un mismo trabajo (guardias obligatorias de diez horas) las trabajadoras con jornada reducida obtienen un menor tiempo de descanso retribuido.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después cuál es, al amparo del convenio colectivo aplicable, la jornada laboral del resto de trabajadores que comparten con la recurrente (médico de urgencias en el hospital Costa del Sol de Marbella) el mismo centro de trabajo, condiciones y categoría. Aclara que cuando se realiza la jornada de forma completa se trabajan 1523 horas ordinarias, a lo que hay que añadir una jornada complementaria obligatoria consistente en cuarenta y cuatro guardias anuales de diez horas cada una durante el turno de noche. Cada guardia genera el descanso de las veinticuatro horas siguientes (saliente de guardia) en el día posterior al que se realiza la guardia, así como el reconocimiento de siete horas como efectivamente trabajadas. Esas siete horas de saliente de guardia son horas que están incluidas en las 1523 horas de la jornada sin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precisa la recurrente que la reducción de jornada se realiza de forma anual y no en cómputo diario, de forma que no se reducen las jornadas ni las guardias, sino que se le asigna a la trabajadora un número menor de unas y otras, proporcional a la reducción solicitada. Es decir, la jornada sigue siendo de siete horas cada una y cada guardia mantiene su duración de 10 horas. De este modo, si un trabajador solicita reducción de jornada, por ejemplo, al 67 por 100, la empresa le exige realizar el 67 por 100 de las 1523 horas, más el 67 por 100 de las jornadas complementarias (guardias). Si bien todos los trabajadores que hacen guardias de diez horas (como la actora) y que no tienen reducción de jornada tienen derecho a descansar en las veinticuatro horas siguientes (saliente de guardia) siendo retribuidas siete horas por cada saliente, en su caso, a pesar de trabajar el mismo número de horas por cada guardia que cualquier otro trabajador (diez horas), no se le reconocen las siete horas de descanso retribuido ligadas a cada saliente, sino tan solo 4,69 horas al aplicar la empresa también la reducción de jornada solicitada (33 por 100) a tales horas de saliente. Se produce, por consiguiente, una evidente y flagrante discriminación derivada de la situación de reducción de jornada para la conciliación familiar, que, además, afecta especialmente a las mujeres ya que porcentualmente son el colectivo que en mayor número solicita tal reducción, aunque la norma no haga distinción y sea un derecho que también corresponde a los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la recurrente compara el distinto modo en el que cada una de las partes computan los salientes de guardia, por cuanto que sobre los hechos no existe discrepancia alguna entre ellas. Según los cálculos realizados por la actora, al aplicar la reducción del 33 por 100 solicitada, la jornada a realizar es de 810,41 horas. A resultas de aplicar el referido porcentaje a la jornada ordinaria y al número de guardias, se obtienen las cifras de 1020,41 horas ordinarias de trabajo y treinta guardias. Dado que cada guardia (de diez horas) le genera siete horas de descanso retribuido al trabajador, las treinta guardias le suponen un total de 210 horas de descanso retribuido, cantidad que se debe restar de la jornada a realizar (1020,41 menos 210 horas), dando como resultado la jornada antes señalada de 810,41 horas. A esa jornada habría que añadir la jornada complementaria (por guardias) que ascendería a 300 horas más (al tener que realizar trreinta guardias de diez horas). Los cálculos de la empresa arrojan una jornada más elevada, a saber, de 879,71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estriba, como se ha dicho, en el modo en el que se calculan los salientes de guardia. Las treinta guardias no generarían, a juicio de la empresa, 210 horas de descanso retribuido sino tan solo 140,7 horas, al aplicar la reducción del 33 por 100 sobre esas horas de saliente de guardia. Señala la recurrente que con tal cálculo, lo que hace la demandada es aplicarle una doble reducción desfavorable y que produce discriminación, en tanto que, primero reduce en un 33 por 100 el número de guardias a realizar (pasando de cuarenta y cuatro a treinta), para después proceder nuevamente a la reducción al aplicar sobre las 210 horas resultantes de cada saliente de guardia el 33 por 100. Ciertamente, según los cálculos de la demandada, a las 1523 horas ordinarias le resta 210 horas (treinta guardias por siete horas de descanso retribuido por guardia), y al resultado de esta operación (1313), que la empresa denomina horas disponibles, le aplica la reducción del 33 por 100, dando como resultado 879,71 horas. Con ello, los salientes de guardia no generarían 7 horas de trabajo efectivo por cada guardia de diez horas, tal y como se reconoce al resto de trabajadores, sino que en su caso tan solo supondrían 4,69 horas por guardia. En definitiva, de todo ello se puede deducir que por el mismo número de guardias (horas de trabajo en cada guardia) la trabajadora con reducción de jornada obtiene una compensación menor al tener que trabajar más que otros trabajadores (la diferencia está en sesenta y nueve horas anuales), añadiendo que los cálculos propuestos por la empresa resultan erróneos ya se calcule la reducción por días o anualmente. Se señala que el principal argumento de la demandada es que si tuviera la trabajadora la jornada reducida diaria, las horas que disfrutarían de saliente de guardia serían 4,69 horas por cada guardia, lo que es cierto, señala la recurrente, pero siempre que el cálculo se realice sobre cuarenta y cuatro guardias, y no sobre las guardias ya reducidas (treinta). De otro modo, se le aplica injustificadamente una doble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puntualiza la recurrente que la discriminación denunciada se produciría con relación al resto de los trabajadores a tiempo completo y a los trabajadores que no tienen que realizar guardias. Con referencia a los primeros, por cuanto que tendrían un mayor número de horas por saliente de guardia realizando las mismas horas de guardia que las trabajadoras con reducción de jornada. Indica la recurrente que resulta evidente que siendo la realización de las guardias obligatoria, y teniendo siempre la misma duración de diez horas, que el descanso remunerado sea de menos horas para un colectivo supone una evidente discriminación. Respecto de los segundos, señala que los únicos trabajadores que estando en reducción de jornada no tienen que realizar guardias son los que están en estado de gestación, tienen más de cincuenta y cinco años, o un hijo menor de un año. Estos trabajadores, al estar exentos de guardias trabajan 1523 horas o la parte proporcional de las mismas en función de su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considera la recurrente paradójico que cuanto más reducción de jornada se aplica, más perjudicado sale el trabajador en relación al cómputo de las horas de descanso por saliente de guardia. Y recuerda que si bien las trabajadoras con reducción de jornada perciben en su nómina la misma cuantía por las guardias realizadas (en el bien entendido que cobran treinta guardias en lugar de cuarenta y cuatro), la retribución globalmente considerada, sin embargo, varía al constar menos horas ordinarias de trabajo efectivo debido al cálculo que la empresa realiza de los salientes de guardia. Con ello, se viene a dificultar al trabajador tomar la decisión de reducir la jornada para cuidado de hijos, al reducirse también de forma claramente discriminatoria sus derechos laborales en relación con el resto de trabajadores. En otras palabras, por el mismo trabajo se les compensa con menor contraprestación a las trabajadoras que, como la recurrente, están en situación de reducción de jornada para el cuidado de hijos y tienen la obligación de realizar guardias. El amparo que se solicita de este Tribunal es, por consiguiente, que se exija a la empresa demandada que aplique de forma no discriminatoria el derecho a la reducción de jornada por cuidado familiar a los trabajadores que así lo solicitan en relación con el cómputo de horas que se convalidan como horas de trabajo efectivo en los salientes de guardia. De esta forma, si una hora de guardia de un trabajador a tiempo completo da lugar a 0,7 horas de saliente, no puede dar lugar a 0,49 horas a una persona con reducción de jornada. Solicita posteriormente que también se le indemnice por la cantidad señalada en la demanda como consecuencia de la lesión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2019, la Sala Primera, Sección Segunda, de este tribunal, acordó la admisión a trámite del recurso de amparo, apreciando que “concurre en el mismo una especial trascendencia constitucional [art. 50.1 de la Ley Orgánica del Tribunal Constitucional (LOTC)] porque el recurso plantea un problema o una faceta de un derecho fundamental sobre el que no hay doctrina de este Tribunal [STC 155/2009, FJ 2 a)] y puede dar ocasión al Tribunal para aclarar o cambiar su doctrina como consecuencia de un proceso de reflexión interna [STC 155/2009, FJ 2, b)]”. Por ello, en aplicación de lo dispuesto en el art. 51 LOTC, acordó dirigir atenta comunicación a la Sala de lo Social del Tribunal Superior de Justicia de Andalucía, con sede en Málaga, a fin de que en el plazo que no excediese de diez días, remitiese certificación o fotocopia adverada de las actuaciones correspondientes, al recurso de suplicación núm. 1546-2018. Asimismo, acordó lo propio con relación al Juzgado de lo Social núm. 6 de Málaga a fin de que remitiese los autos núm. 100-2018 y emplazase a quienes hubiesen sido parte en el procedimiento, excepto a la recurrente en amparo, para que, en el plazo de diez días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que tuvo entrada el día 18 de noviembre de 2019 en el registro general de este Tribunal, la procuradora de los tribunales doña Úrsula Cabezas Manjavacas, en nombre y representación de la agencia pública empresarial sanitaria Costa del Sol, solicitó que se tuviera a esa parte como personada en el recurso de amparo y se entendieran con ella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22 de noviembre de 2019, se tuvo por personada y parte a la procuradora doña Úrsula Cabezas Manjavacas en nombre y representación de la agencia pública empresarial sanitaria Costa del Sol y, a tenor de lo dispuesto en el art. 52 LOTC, en la misma diligencia se acordó dar vista de todas las actuaciones recibidas a las partes personadas y al Ministerio Fiscal, por un plazo común de veinte días,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 de enero de 2020, doña Úrsula Cabezas Manjavacas, en la representación que ostenta, presentó su escrito de alegaciones en el registro general de este Tribunal solicitando la desestimación del recurso de amparo. Comienza indicando que en la vía judicial se han planteado demandas sobre idéntica cuestión por otras trabajadoras del mismo centro de trabajo, y que todas, al igual que la recurrente en amparo, han obtenido pronunciamientos desestimatorios de la pretensión formulada en las dieciséis sentencias de los juzgados de lo social que se han ido dictando. Dicho esto, subraya que en el recurso de amparo la infracción constitucional se centra en la forma en que se ha realizado por la demandada el cómputo de la jornada de la trabajadora, y que lo que postula la parte actora es que se realice un cálculo distinto que le resulta más favorable a sus intereses. Tal cuestión no incidiría, sin embargo, en el ámbito de los derechos fundamentales desde el momento en que la discusión se centra en un cálculo matemático relativo a una distinta interpretación sobre el número de horas efectivas de trabajo y en donde la discrepancia principal, por lo tanto, se centraría en la forma de computar las horas generadas por saliente de guardia. En tal sentido, señala que para que existiera una incidencia en el derecho fundamental sería preciso que el acto empresarial hubiera tenido la intención de discriminar a la demandante o, que sin tenerla, hubiera incidido en la esencia del derecho fundamental. Tales circunstancias no se habrían producido, dado que ni el acto discutido resultaría arbitrario (al ser posibles varias interpretaciones para realizar el cálculo), ni de calificarse como erróneo habría afectado al derecho de la recurrente a solicitar la reducción de jornada y a no ser discriminada por ello, pues en ningún momento se le ha denegado tal derecho. Con base en ello, se afirma que la cuestión debatida en los autos resulta de mera legalidad ordinaria (forma en que debe computarse la reducción de jornada) y que lo que la actora está exigiendo es un derecho a la diferenciación, esto es, tener un trato distinto de los demás trabajadores por tener jornada reducida.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se reitera que no se discute el derecho a la reducción de jornada, que ha sido reconocido e incluso favorecido por la entidad demandada, sino que la discrepancia entre las partes gira en torno al cálculo de la jornada reducida y al impacto que ha de tener en él los descansos retribuidos por saliente de guardia. Mientras que la reducción del 33 por 100 según los cálculos empresariales da lugar a una jornada de 879,71 horas al año, en el cómputo de la trabajadora resulta solo de 810,41 horas. Se considera que el cálculo realizado por la recurrente es erróneo, pues la reducción del 33 por 100 ha de operar también sobre los salientes de guardia, pues, de otro modo, los parámetros del cálculo no resultarían homogéneos. Se subraya que la jornada diaria no es de 7 horas sino de 4,69 horas una vez aplicada la reducción, y que por cada saliente corresponde a la actora el cómputo como trabajo efectivo de 4,69 horas. Al reclamar siete horas por saliente, la trabajadora estaría solicitando una reducción mayor que la que realmente le corresponde (un 38,25 por 100 en lugar del 33 por 100). Por consiguiente, se niega que el cálculo realizado por la empresa resulte discriminatorio para las trabajadoras con reducción de jornada y se señala que si el cálculo de la reducción se hiciese de forma diaria y no anual, como establece el estatuto de los trabajadores, el resultado sería idéntico al realizado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termina indicando que al no haber vulneración de derechos fundamentales no procede el reconocimiento de indemnización alguna. En cualquier caso, y dado que la recurrente insiste en ese punto, se manifiesta que la que se solicita y se fija en relación al art. 8.12 de la Ley sobre infracciones y sanciones del orden social no procedería y que, además, el art. 183 de la Ley reguladora de la jurisdicción social exige que se establezca prudencialmente en caso de que la prueba de su importe exacto sea muy difícil. La actora, sin embargo no ha realizado el más mínimo esfuerzo en plantear los parámetros para el cálculo de la indemnización, lo que provoca indefensión a la parte demandada, máxime cuando no hay daño alguno que indemnizar.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17 de diciembre de 2019 el procurador de los tribunales don Manuel María Martínez de Lejarza Ureña, en representación de doña Pilar Prados Torres, presentó escrito de alegaciones ratificándose en las realizadas en la demanda de amparo. Asimismo, adjuntó con el escrito un informe pericial en el que se analiza matemáticamente el controvertido cómputo de las guardias de las trabajadoras en reducción de jornada por cuidado de hijos y/o familiares, con el fin de avalar los cálculos realizados por esa parte en su recurso de amparo. Se termina solicitando que se estime el recurso de amparo reconociéndose a la recurrente la vulneración del derecho a la igualdad y a la no discriminación, con nulidad de las sentencias recurridas y el reconocimiento de la indemnización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8 de enero de 2020, presentó sus alegaciones el Ministerio Fiscal. Antes de analizar el fondo de la cuestión realiza una observación previa en cuanto al objeto del enjuiciamiento. Indica que aunque la demanda se dirige expresamente contra las sentencias del juzgado de lo social y del Tribunal Superior de Justicia, dado que las mismas se limitan a confirmar las resoluciones de un ente que forma parte de la administración pública, integrado en la Consejería de Sanidad de la Junta de Andalucía, lo que se imputa a las sentencias impugnadas en la demanda de amparo no es haber vulnerado por sí mismos los derechos a la igualdad ante la ley y a no sufrir discriminación por razón de sexo, sino no haber reparado la vulneración ya producida en las resoluciones del ente público. Por tal motivo, el fiscal considera aplicable la doctrina sentada en la STC 15/2011, de 28 de febrero, FJ 2, relativa a decisiones judiciales desestimatorias que no alteran la situación jurídica creada por el acto de la administración presuntamente lesivo del derecho fundamental, y que no son, por tanto, en sí mismas causas de lesión. No encontrándonos en un amparo contra decisiones judiciales (art. 44 LOTC), sino en el caso de un amparo contra una resolución administrativa (art. 43 LOTC), el plazo para la interposición del recurso de amparo sería de veinte días y no de treinta. Así las cosas, habiendo sido notificado el auto del Tribunal Superior de Justicia de Andalucía, de 13 de diciembre de 2018 (que desestimó la solicitud del complemento de sentencia) el 18 de diciembre de 2018, a las 15:27:34, el tiempo válido para interponer el recurso de amparo se extendía hasta el 23 de enero de 2019 a las quince horas, y habiendo tenido entrada en el Tribunal Constitucional el recurso de amparo el día 23 de enero de 2019 a las 19:56:01, estaría presentado fuera de plazo y procedería acordar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para el caso de que se considerase temporáneo, el fiscal pasa a analizar el fondo del asunto planteado, no sin antes referirse a la doctrina constitucional que considera aplicable al caso, relativa al derecho a la igualdad (resumida recientemente en la STC 91/2019, de 3 de julio), a la discriminación por razón de sexo en el ámbito laboral (STC 214/2006, de 3 de julio), y a la discriminación indirecta (con cita, nuevamente, de la STC 91/2019). Señala que la diferencia de trato o discriminación alegada por la actora consistiría en que a los trabajadores con jornada reducida se les abonaría menos horas de descanso retribuido por saliente de guardia que a los de a tiempo completo, cuando la duración de las guardias en ambos supuestos es idéntica (diez horas). En el caso de la demandante (con una reducción de jornada del 33 por 100) se le abonarían solo 4,69 horas por guardia de diez horas, mientras que los trabajadores sin reducción de jornada obtendrían siete horas por guardias de la misma duración. La cuestión a dilucidar, por lo tanto, es si trabajando ambos colectivos en los servicios de guardia durante diez horas ininterrumpidas en la misma franja horaria, sin diferencia alguna en el servicio que prestan en cada guardia, es contrario al art. 14 CE que se reduzcan las horas de descanso remunerado de los trabajadores que tienen reducción de jornada en la misma proporción en que tienen reducida su jornada ordinaria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el sistema de cálculo utilizado por la empresa implica, como dice la demandante, una doble reducción. En efecto, no solo reduce en un 33 por 100 el número de guardias anuales a realizar (que pasan de cuarenta y cuatro a treinta guardias al año), sino que después se vuelve a aplicar la reducción del 33 por 100 al calcular las horas de descanso retribuido por cada saliente de guardia al no atribuirle a la trabajadora 7 horas por guardia (como ocurre con los trabajadores a tiempo completo), sino sólo 4,69 (al aplicar la reducción del 33 por 100 también a las siete horas de descanso retribuido que genera cada guardia). Por consiguiente las 30 guardias no le generan a la actora 210 horas de descanso retribuido, sino solo 140,7. Este modo de cálculo obvia la circunstancia de que las guardias tienen siempre la misma duración (diez horas), ya sean realizadas por trabajadores a tiempo completo como con jornada reducida. Y siendo así, el abono del descanso por guardia no puede ser menor para los trabajadores que, fuera de cada servicio de guardia concreto, tienen reducción de jornada, porque en cada una de las guardias que realizan su jornada es completa al trabajar las mismas diez horas que el resto de los trabajadores. Y subraya después el fiscal que la diferencia de trato que se advierte resulta mayor cuanto mayor es la reducción de jornada ordinaria que se le ha concedido al trabajador, pues la reducción del abono se hace en la misma proporción que la reducción de jornada. De este modo, incluso entre los trabajadores con reducción de jornada se produciría una diferencia de trato según el tanto por ciento de reducción de jornada al que se hubieran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posteriormente que la empresa justifica la disminución de abono de horas de descanso remunerado por guardia a los trabajadores a tiempo parcial con el argumento de que como lo que se les debe abonar es una jornada y las horas de su jornada ordinara están reducidas al 33 por 100, se debe reducir en la misma proporción las horas a retribuir por cada servicio de guardia. Señala el fiscal que ese argumento justificaría la reducción si lo que se redujera para la demandante fuera la duración de cada guardia, de tal modo que si trabajase un 33 por 100 menos en cada guardia, procedería también reducir en igual porcentaje las horas de descanso retribuido por guardia. Hay que tener en cuenta que el abono de horas de descanso remunerado por guardia está determinado por las horas de la jornada de guardia, siendo una remuneración por lo penoso de la guardia. No tiene, por lo tanto, relación con las horas de jornada ordinaria. Si una jornada de guardia no se reduce (es una jornada completa de diez horas), no hay reducción de la penosidad, y, por lo tanto, no hay justificación para reducir las horas remuneradas de la jornada de descanso (una jornada completa de siete horas) por haber realizado esa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razonado deduce que la diferencia de trato resulta injustificada porque ambos colectivos trabajan las mismas horas durante la jornada de guardia y, sin embargo, con el sistema aplicado por la empresa se abonan a la recurrente y a los demás trabajadores que están con reducción de jornada menos horas de descanso remunerado por guardia que a los trabajadores con jornada completa. Asimismo, el fiscal considera que también concurre en este caso una discriminación indirecta por razón de sexo en tanto que siendo las mujeres las que principalmente se encargan de la atención de los menores, por lógica son las que en mayor medida utilizan la reducción de jornada para atender al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estimación del recurso, el fiscal considera que además de proceder a declarar nulas las sentencias directamente impugnadas, procede también acordar la nulidad de las resoluciones administrativas que produjeron directamente la vulneración de los derechos constitucionales mencionados y que luego fueron convalidadas por las sentencias impugnadas. Ahora bien, respecto a la petición de indemnización por la declaración de la existencia de la vulneración (art. 183 de la Ley reguladora de la jurisdicción social), el fiscal considera que la valoración de los perjuicios a que se refiere dicho precepto es una problemática de legalidad ordinaria, y, por lo tanto, no es una cuestión que deba ser resuelta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13 de febrero de 2020, el Pleno de este tribunal, a propuesta del presidente, conforme a lo establecido en el art. 10.1 n) LOTC,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junio de 2020 se señaló para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 La recurrente en amparo, médico del servicio de urgencias del hospital Costa del Sol de Marbella (Málaga), dependiente de la agencia sanitaria Costa del Sol (entidad de Derecho público adscrita a la Consejería de Salud de la Junta de Andalucía), venía realizando una jornada ordinaria de 1.523 horas de trabajo (a razón de siete horas al día) y otra complementaria como consecuencia de la realización obligatoria de cuarenta y cuatro guardias al año (en horario nocturno, con una duración de diez horas), cada una de las cuales, no solo generaba al día siguiente (“saliente de guardia”) un descanso de veinticuatro horas, sino que, a efectos retributivos, se tomaban siete de esas horas como de trabajo efectivo (descanso retribuido). De este modo, en el cómputo anual de las 1523 horas de jornada ordinaria quedaban incluidas las 308 horas generadas por los “salientes de guardia”. Posteriormente, solicitó la aplicación de la reducción de jornada por motivos de guarda legal para el cuidado de los hijos menores de doce años (en un 33 por 100) prevista tanto en el art. 37.6 del texto refundido de la Ley del estatuto de los trabajadores, aprobado por el Real Decreto Legislativo 2/2015, de 23 de octubre (en lo sucesivo, LET), como en el art. 23 del convenio colectivo de la citada agencia. En aplicación de tal previsión, la empleadora procedió a reducirle, en la misma proporción, el número de horas de su jornada ordinaria (que pasó de 1523 a 1020,41 horas), el número de guardias médicas obligatorias (que pasó de cuarenta y cuatro a treinta), así como el número de horas de descanso retribuido computables por cada saliente de guardia (reduciéndolo de siete a 4,69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demandante, la reducción aplicada sobre el descanso retribuido por guardia médica es contraria al principio de igualdad y no discriminación del art. 14 CE. A su juicio, tal decisión empresarial —avalada por las resoluciones judiciales impugnadas— produce una diferencia de trato injustificada entre trabajadores a tiempo completo y trabajadoras con jornada reducida, de manera que, a igualdad de jornada (guardia médica obligatoria de diez horas), recibe una menor compensación por cada “saliente de guardia” (de 4,69 horas en lugar de siete horas), de modo que tiene que trabajar 69,30 horas más en términos anuales (un total de 879,71 horas en lugar de 810,41 horas). Además, podría producirse también una discriminación indirecta por razón de sexo, en la medida que el trato desigual denunciado vendría motivado por el ejercicio de un derecho (el de reducción de jornada para el cuidado de hijos) que, aunque reconocido legalmente tanto a los hombres como a las mujeres, se ejercita mayoritariamente por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demandada, por el contrario, rechaza que se hayan visto afectados los derechos fundamentales invocados, y señala que en el recurso se plantea tan solo una cuestión de legalidad ordinaria atinente al cálculo de la jornada reducida, que permite diversas interpretaciones y que, en todo caso, habría sido realizado correctamente por la empresa. Por su parte, el fiscal, partiendo de que se ha planteado un recurso de amparo por la vía del art. 43 LOTC frente a un acto administrativo, propone la inadmisión del recurso por extemporáneo al considerar que se ha presentado una vez transcurrido el plazo de veinte días al que está sujeta su interposición. No obstante, y para el caso de que no se aprecie la concurrencia del citado óbice de admisibilidad, interesa el otorgamiento del amparo por considerar que el sistema de cálculo empleado por la parte demandada para fijar la jornada reducida de la recurrente en amparo produce una diferencia de trato contraria al art. 14 CE, en su doble vertiente de derecho a la igualdad y prohibición de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En la providencia de admisión a trámite del recurso de amparo se apreció que concurría en el mismo la especial trascendencia constitucional prevista en los apartados a) y b) del fundamento jurídico 2 de la STC 155/2009, de 25 de junio. Ciertamente, este Tribunal valoró, de un lado, que el recurso planteaba un problema o faceta de un derecho fundamental susceptible de amparo sobre el que no hay doctrina de este Tribunal, en la medida en que en este caso se denuncia una diferencia de trato en materia retributiva entre trabajadores a tiempo completo y parcial, derivada del ejercicio de derechos asociados con la maternidad. De otro lado, el recurso permitía además aclarar la doctrina existente sobre la discriminación indirecta por razón de sexo pues, aun cuando existen pronunciamientos diversos de este Tribunal sobre tal tipo de discriminación, el Tribunal tiene la oportunidad de insistir en la necesidad de cumplimiento de su jurisprudencia en la materia, abundando para ello en sus parámetros generales y concreción aplicativa, evitando, en lo posible, dudas ulteriores sobre su alcance que puedan dar lugar a inaplicaciones objetivas de la misma (STC 146/2019,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Óbice de procedibilidad: extemporaneidad de la demanda. Antes de entrar a analizar la vulneración denunciada en el presente proceso de amparo, es necesario dar respuesta al óbice de procedibilidad opuesto por el fiscal. Partiendo de que la queja de la recurrente se ubica en el ámbito del art. 43 LOTC por dirigirse frente a una decisión administrativa, considera que el recurso resulta inadmisible por extemporáneo, al haberse formulado fuera del plazo de interposición de veinte días [art. 50.1 a) en relación con el art. 43.2 LOTC]. En efecto, habiéndose notificado el auto del Tribunal Superior de Justicia de Andalucía de fecha 13 de diciembre de 2018 (desestimatorio de la solicitud del complemento de sentencia) el día 18 de diciembre de 2018, el tiempo válido para interponer el recurso de amparo se extendía hasta las 15:00 horas del día 23 de enero de 2019, cuando lo cierto es que el recurso de amparo tuvo entrada en este Tribunal Constitucional a las 19:56:01 de ese mismo día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a este respecto, que el plazo de interposición del recurso de amparo es “de caducidad, improrrogable y no susceptible de suspensión y, por consiguiente, de inexorable cumplimiento”, por lo que no consiente prolongaciones artificiales ni puede quedar al arbitrio de las partes (entre muchas, SSTC 85/2004, de 10 de mayo, FJ 2; y 41/2009, de 9 de febrero, FJ 3). Ahora bien, de cara a la determinación del concreto plazo de interposición del recurso de amparo es imprescindible analizar primero, la naturaleza de la decisión que ha originado la queja de la recurrente, para dilucidar si se trata de un acto administrativo impugnable a través de la vía del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el acto al que se imputa la lesión del derecho fundamental previsto en el art. 14 CE emana de la agencia pública empresarial sanitaria Costa del Sol. Pues bien, sin que sea este el momento de realizar un minucioso estudio de la naturaleza jurídica de la citada “agencia” y de los actos que realiza, hay que tener en cuenta que nos encontramos ante una entidad de Derecho público adscrita a la Consejería de Salud de la Junta de Andalucía, entre cuyas funciones está la gestión y administración del hospital Costa del Sol de Marbella [art. 6.b) 1 de los estatutos de la agencia pública empresarial sanitaria Costa del Sol, aprobados por el Decreto 98/2011, de 19 de abril (“Boletín Oficial de la Junta de Andalucía” núm. 83, de 29 de abril)], en el que presta sus servicios la recurrente en amparo. Tal entidad, a pesar de tener naturaleza pública, se rige por el Derecho privado en todos los actos que realiza, salvo los que estén relacionados con la formación de la voluntad de sus órganos y con el ejercicio de las potestades administrativas que tiene atribuidas (arts. 9, 10 y 11 de la Ley del Parlamento de Andalucía 1/2011, de 17 de febrero, de reordenación del sector público de Andalucía, y 30 y 31 de sus estatutos). En consonancia con ello, la agencia se rige por las normas procesales comunes sobre competencia y jurisdicción “aplicables a las personas de Derecho Privado”, sin perjuicio de las especialidades que pudieran proceder en virtud de su naturaleza de entidad de Derecho público (art. 31.1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que antecede, hay que precisar que la resolución cuestionada no es fruto del ejercicio de potestades administrativas de la agencia demandada, al tratarse de un mero acto de gestión del personal laboral empleado en los hospitales a ella adscritos, que se rige por el estatuto de los trabajadores y por el convenio colectivo de aplicación. Por consiguiente, no estamos ante un recurso de amparo por la vía del art. 43 LOTC (contra actos de las administraciones públicas), sino ante un recurso de amparo que debe quedar encuadrado en el art. 44 LOTC ya que, en la actuación controvertida, la agencia intervino como empleadora, sin ejercer potestad pública alguna (potestad de imperio), desarrollando facultades de orden jurídico-privado que le reconoce el ordenamiento laboral (en sentido similar, SSTC 6/1988, de 21 de enero, FJ 1, y 29/2013, de 11 de febrero, FJ 1). En consecuencia, aunque la lesión la haya causado originariamente la agencia demandada, es a los órganos judiciales a quienes corresponde —ex art. 53.2 CE— tutelar el derecho reconocido en el art. 14 CE, de modo que, al confirmar la decisión adoptada por la empleadora, es a ellos a quienes les es imputable la lesión, siendo las resoluciones judiciales dictadas el acto del poder público aquí impugnado, respecto de las que opera el plazo de interposición de treinta días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aplicable. En orden a determinar si se ha producido la infracción del derecho a la igualdad y no discriminación que la recurrente denuncia, es necesario recordar brevemente el contenido que define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doctrina constitucional, el derecho a la igualdad reconocido en el primer inciso del art. 14 CE exige que a iguales supuestos de hecho se apliquen iguales consecuencias jurídicas, lo que veda la utilización de elementos de diferenciación que quepa calificar de arbitrarios o carentes de una justificación objetiva y razonable [SSTC 253/2004, de 22 de diciembre, FJ 5; 117/2011, de 4 de julio, FJ 4; 149/2017, de 18 de diciembre, FJ 4, y 91/2019, de 3 de julio, FJ 4 a), entre otras muchas]. Lo que prohíbe el principio de igualdad, en definitiva, son las desigualdades que resulten artificiosas o injustificadas por no venir fundadas en criterios objetivos y razonables, de valor generalmente aceptado [STC 91/2019, FJ 4 a)]. El juicio de igualdad, siendo relacional, exige como presupuestos obligados, de un lado, que se haya introducido directa o indirectamente una diferencia de trato entre grupos o categorías de personas;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de trato (SSTC 27/2004, de 4 de marzo, FJ 2; 149/2017, de 18 de diciembre, FJ 5; 111/2018, de 17 de octubre, FJ 7, y 85/2019, de 19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virtualidad del art. 14 CE no se agota, sin embargo, en la proclamación del derecho a la igualdad sino que a continuación el precepto se refiere a la prohibición de discriminación, entre otros motivos, “por razón de sexo”. Tal tipo de discriminación comprende no solo el tratamiento peyorativo que se funda en la pura y simple constatación del sexo de la persona afectada, sino en la concurrencia de razones o circunstancias que tengan con el sexo de la persona una conexión directa e inequívoca, como sucede con el embarazo y la maternidad (por todas, SSTC 17/2003, de 30 de enero, FJ 3; 3/2007, de 15 de enero, FJ 2, y 2/2017, de 16 de enero, FJ 5). No obstante, esta protección constitucional vinculada a factores diferenciales que inciden en las mujeres no se detiene en el embarazo y subsiguiente maternidad, sino que se extiende también al ejercicio por la trabajadora de los “derechos asociados a la maternidad”. Tales derechos, aunque son reconocidos por el ordenamiento jurídico indistintamente al hombre y a la mujer con el objeto de estimular cambios en la cultura familiar y promover el reparto de responsabilidades, sirven principalmente para compensar las dificultades y desventajas que agravan la posición de la mujer trabajadora. En efecto, se trata de derechos que inciden de modo singular en las mujeres, al ser las que principalmente asumen el cuidado de los hijos de corta edad y sufren, por ello, mayores dificultades para su inserción laboral y su mantenimiento en el mercado de trabajo [STC 233/2007, de 5 de noviembre, FJ 7, a), y posteriores SSTC 162/2016, de 3 de octubre, FJ 4; 2/2017, de 16 de enero, FJ 5, y 108/2019, de 30 de septiembre, FJ 2]. Ahora bien, es importante subrayar que la discriminación por razón de sexo no solo se produce cuando a la mujer trabajadora se le niega uno de esos derechos asociados a la maternidad, sino también cuando, pese a su inicial reconocimiento y ejercicio, se le cause un perjuicio efectivo y constatable que consista en un “trato peyorativo en sus condiciones de trabajo”, o en “una limitación o quebranto de sus derechos o legítimas expectativas económicas o profesionales en la relación laboral”, por la exclusiva razón del ejercicio previo de ese derecho [STC 233/2007, FJ 7 c) 2]. En otras palabras, en tales casos la vulneración del art. 14 CE vendría determinada por el menoscabo, de carácter discriminatorio, ocasionado en el patrimonio jurídico de la mujer trabajadora. Y, entre esos derechos asociados a la maternidad que, como se ha dicho, responden a la idea de compensar las desventajas reales que para la conservación de su empleo y para la conciliación de su vida laboral y familiar soporta la mujer trabajadora, se encuentran, precisamente, el derecho a la excedencia laboral por cuidado de hijos (art. 46.3 LET) y el derecho a la reducción de jornada por razones de guarda legal (art. 37.6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cabe recordar también que la específica prohibición de discriminación por razón de sexo no sólo comprende la “discriminación directa” a la que se ha hecho referencia, sino también la “discriminación indirecta”, es decir, aquel tratamiento formalmente neutro o no discriminatorio del que se deriva, por las diversas condiciones fácticas que se dan entre trabajadores de uno y otro sexo, un impacto adverso sobre los miembros de un determinado sexo [SSTC 145/1991, de 1 de julio, FJ 2, y 91/2019, de 3 de julio, FJ 4.c)].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de amparo. Teniendo en cuenta la doctrina sintetizada en el fundamento jurídico precedente, ya estamos en disposición de pronunciarnos sobre si se ha producido una diferencia de trato contraria al art. 14 CE como consecuencia de que la empleadora al calcular la reducción de jornada por motivos de guarda legal para el cuidado de los hijos menores, no solo aplicó la reducción al número de horas de la jornada ordinaria (que pasó de 1523 a 1020,41 horas, en jornadas diarias de siete horas) y al número de guardias médicas obligatorias (que pasó de cuarenta y cuatro a treinta, en jornadas diarias de diez horas), sino también al número de horas de descanso retribuido computables por cada saliente de guardia (reduciéndolo de siete horas a 4,69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anterioridad, el juicio de igualdad es de carácter relacional, pues requiere que la diferencia de trato se produzca entre grupos o categorías de personas que puedan considerarse homogéneas o equiparables (STC 149/2017). Y resulta que, en este caso, las situaciones subjetivas que la recurrente contrasta constituyen un término de comparación válido, al tratarse de supuestos de hecho iguales en la medida que, aun realizando menos guardias obligatorias (treinta en lugar de cuarenta y cuatro, fruto de la reducción de jornada para el cuidado de los hijos), las que realiza son, al igual que el resto de sus compañeros, de diez horas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pues, ante situaciones subjetivas comparables, que son aptas para realizar el juicio de igualdad, debemos ahora comprobar si la diferencia de trato denunciada posee una justificación objetiva y razonable que la legitime. El argumento que ofrece la entidad demandada para justificar la diferencia de trato (y que ha sido aceptado en la vía judicial) es que, dado que la recurrente tiene su jornada habitual reducida en un 33 por 100, las guardias realizadas no pueden generarle un descanso retribuido equivalente a una jornada de trabajo “ordinaria” completa (de siete horas), procediendo la empleadora a reducírselo a 4,69 horas. Tal argumentación resulta, sin embargo, inasumible, al utilizar la empleadora para justificar la diferencia de trato un elemento de diferenciación que debe calificarse de arbitrario o carente de una justificación objetiva y razonable (STC 91/2019, FJ 4), a saber, el de que la recurrente en amparo realiza la jornada de trabajo (tanto ordinaria como complementaria) de forma reducida.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que descuidar que la reducción tanto de la jornada ordinaria (en cómputo anual) como de la complementaria (en número de guardias) es fruto de un derecho (el cuidado de los hijos), cuyo ejercicio no puede generarle un menoscabo en la asignación del descanso retribuido derivado de la realización de unas guardias que, aun menores en su número, son de la misma duración que para el resto de los trabajadores: de diez horas. Dicho de otra manera, como se ha señalado ya, aunque la recurrente realiza menos jornadas “ordinarias” de trabajo (1020,41 horas anuales en lugar de las 1523 horas previstas, en jornadas diarias de siete horas), y menos jornadas “complementarias” (treinta guardias obligatorias en lugar de las cuarenta y cuatro previstas, en jornadas de diez horas), fruto de la reducción para el cuidado de los hijos, las que sí realiza (las treinta guardias), las lleva a cabo, al igual que el resto de sus compañeros, a jornada completa de diez horas. Por tanto, ante una misma situación (guardias de diez horas), que generan el derecho a un descanso retribuido (de siete horas), no puede la empleadora asignarle otro (de 4,69 horas), so pretexto de que ya tiene reducido tanto el número de horas ordinarias que debe trabajar como el número de guardias que obligatoriamente debe realizar. No existe, pues, una justificación razonable que legitime el diferente trato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solo eso. También puede apreciarse una discriminación indirecta por razón de sexo porque el método de cálculo usado por la empleadora para asignarle los períodos de descanso retribuidos por cada “saliente de guardia”, le ha provocado un “perjuicio efectivo y constatable” que ha generado, en este caso, un “trato peyorativo en sus condiciones de trabajo” (STC 233/2007) fruto del ejercicio de un derecho asociado con la maternidad (como es el derecho a la reducción de jornada para el cuidado de hijos). Y aunque aquel método es formalmente neutro, ha perjudicado a un número mayor de mujeres que de hombres (STC 91/2019), pues esta demanda de amparo forma parte de una serie de recursos en que todas las recurrentes, a fecha del dictado de esta sentencia, son mujeres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al carecer la diferencia de trato de una justificación que la legitime, procede estimar la vulneración del derecho a la igualdad, sin discriminación por razón de maternidad,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 la estimación del recurso. El otorgamiento del recurso de amparo conlleva la anulación de las resoluciones judiciales impugnadas que negaron a la recurrente, al calcular su jornada anual, el reconocimiento del mismo número de horas de trabajo efectivo por cada saliente de guardia que al resto de los trabajadores con jornadas a tiempo completo. El restablecimiento de su derecho a la igualdad de trato y no discriminación indirecta por razón de sexo (art. 14 CE) requiere, en consecuencia, la retroacción de las actuaciones al momento inmediatamente anterior al del dictado de la primera de las resoluciones judiciales a fin de que sea dictada una nueva resolución respetuosa con tales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 lo que se refiere a la solicitud del reconocimiento de una indemnización anudada a la infracción del derecho a la igualdad y a no padecer discriminación que solicita la recurrente, no procede realizar pronunciamiento alguno al respecto en esta sede, no solo por ser una cuestión que quedó imprejuzgada en la vía judicial (STC 176/2013, de 21 de octubre, FJ 9), sino también porque el reconocimiento de una eventual indemnización no puede ser pretendido como una consecuencia automática y necesaria de la estimación del recurso de amparo, pues el restablecimiento del derecho fundamental vulnerado se realiza, en principio, mediante las medidas previstas en el fallo de nulidad de las resoluciones judiciales impugnadas, siendo algo que debe ser llevado a cabo por la jurisdicción ordinaria (por todos, AATC 233/2001, de 25 de julio, FJ 3, y 270/2008, de 15 de septiembre,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Pilar Prados Torres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Reestablecerla en su derecho y, a tal fin, anular la sentencia del Juzgado de lo Social núm. 6 de Málaga, de 10 de mayo de 2018, autos núm. 100-2018, y la de la Sala de lo Social del Tribunal Superior de Justicia de Andalucía, sede de Málaga, de 5 de diciembre de 2018, dictada en el recurso de suplicación núm. 1546-2018, que las confirmaron.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dictado de la sentencia del Juzgado de lo Social núm. 6 de Málaga de 10 de mayo de 2018, a fin de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