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17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amparo núm. 1611-2020 interpuesto por doña Carme Forcadell i Lluis,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marzo de 2020, doña Carme Forcadell i Lluis, representada por el procurador de los tribunales don Emilio Martínez Benítez y asistida por la letrada doña Olga Arderiu Ripoll y por el letrado don Raimon Tomàs Vinardell, presentaron recurso de amparo contra la sentencia dictada por la Sala de lo Penal del Tribunal Supremo, el 14 de octubre de 2019, en la causa especial 20907-2017, y contra el auto de 29 de enero de 2020, en cuya virtud se desestima el incidente de nulidad de actuaciones deducido contra la indicada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referida demanda interesa que se declaren vulnerados los derechos fundamentales que en la misma invoca, se acuerde la nulidad de las resoluciones impugnadas y se proceda a ordenar la inmediata libertad de la demandante. Por otrosí, se interesa que, conforme a lo previsto en el art. 56 de la Ley Orgánica del Tribunal Constitucional (LOTC), se acuerde la suspensión cautelar de los efectos de la sentencia impugnada. Dicho recurso fue registrado con el núm. 1611-2020.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6 de mayo de 2020 dictada por el Pleno del Tribunal Constitucional conforme establece el artículo 10.1 k) de la Ley Orgánica del Tribunal, a propuesta del presidente, acordó recabar para sí el conocimiento del recurso de amparo que se tramita en la Sala Segunda bajo el número 1611-2020, interpuesto por doña Carme Forcadell i Lluis, y admitirlo a trámite, apreciando que concurre en el mismo una especial trascendencia constitucional (art. 50.1 LOTC) porque el recurso plantea un problema o afecta a una faceta de un derecho fundamental sobre el que no hay doctrina de este tribunal [STC 155/2009, FJ 2 a)] y el asunto suscitado trasciende del caso concreto porque plantea una cuestión jurídica de relevante y general repercusión social o tiene unas consecuencias políticas generales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el 20 de mayo del 2020, el procurador de los tribunales antes indicado formuló incidente de recusación contra todos los magistrados que en la actualidad componen el Tribunal Constitucional, con identificación nominal de cada uno de ellos, por concurrir las causas 7, 10 y 11 del art. 219 de la Ley Orgánica del Poder Judicial (LOPJ), bajo la invocación de los derechos a un tribunal imparcial, en relación con el derecho a un procedimiento con todas las garantías (art. 24.2 de la CE y arts. 6 y 13 del Convenio europeo para la protección de los derechos humanos y de las libertades fundamentales, art. 47 de la Carta de los derechos fundamentales de la Unión Europea y arts. 2.3 y 14.1 del Pacto internacional de derechos civiles y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manifiesta, este tribunal ha reconocido la recusación como instrumento procesal de protección del derecho a un tribunal imparcial. La promotora sostiene que conoce la jurisprudencia constitucional que conduce a una interpretación estricta o no extensiva de las causas de recusación o abstención previstas en la Ley Orgánica del Poder Judicial (STC 162/1999, de 27 de septiembre, FJ 8). También recuerda la doctrina en virtud de la cual no son admisibles las recusaciones de carácter genérico, sin embargo, sostiene que en el presente caso no insta la recusación del órgano per se, sino de forma singularizada por la concurrencia de causas de recusación en todos sus magistrados, de modo concreto e individualizado. Añade que dicha posibilidad fue indicada en la sentencia del Tribunal Constitucional 11/2009, de 28 de noviembre, FJ 2. Considera que la recusación se formula con estricto cumplimiento del plazo de diez días previsto en el art. 223.1 LOPJ, a contar desde la notificación de la providencia por la que el Pleno se atribuye el conocimiento del procedimiento, sin perjuicio de la suspensión de los plazos decidida en el acuerdo del Pleno del tribunal de 16 de marzo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refiere al contenido y alcance del derecho a un juez imparcial mediante la cita de sentencias del Tribunal Constitucional y del Tribunal Europeo de Derechos Humanos, distinguiendo entre: (i) las circunstancias objetivas que afectan a los magistrados por su intervención previa en el procedimiento y en especial por las resoluciones dictadas respecto a la recusante en las que se acordaba deducir testimonio para perseguir penalmente las conductas llevadas a cabo en atención al cargo que ocupó en el Parlamento de Cataluña; (ii) y aquellas circunstancias que pueden conllevar “sospechas objetivamente fundadas en relación con la posible afectación en la imparcialidad causada por intereses que, de manera indirecta, determinan las resoluciones dictadas”.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Dentro de las primeras pone de manifiesto la intervención de los magistrados en el dictado de las resoluciones por las que se acordaba la deducción de testimonio, como instrumento de iniciar la persecución penal de la recusante, que considera encuadrable en el art. 219.7 LOPJ, al haber sido condenada por la comisión de un delito de sedición relacionado con el incumplimiento de las resoluciones del Tribunal Constitucional, y haber sido los magistrados recusados quienes instaron al Ministerio Fiscal a presentar las correspondientes querellas, mediante los AATC 170/2016, de 6 de octubre; 24/2017, de 14 de febrero; 123/2017 y 124/2017, de 19 de septiembre, dictados en el seno de los incidentes de ejecución de la STC 259/2015, y en los que se acordaba deducir testimonio contra la promotora de la recusación. Considera que los miembros del tribunal no solamente son los denunciantes de la recusante, sino que constituirían los mismos perjudicados de la conducta delictiva, por afectar a la autoridad que ejercen, provocando todo ello una mayor intensidad en su afectación en la debida imparcialidad. Añade que en las mencionadas resoluciones se declara probado que la conducta de la recurrente en amparo constituiría un incumplimiento penalmente relevante, realizando conclusiones acerca de los elementos subjetivos de dicha actuación. Por ello entiende que concurre la causa objetiva de afectación a la debida imparcialidad prevista en el art. 219.7 LOPJ relacionada a su vez con la prevista en el art. 219.11 LOPJ por haber “participado en la instrucción de la causa penal o haber resuelto el pleito o causa en anterior instancia”. Finalmente indica que esta última circunstancia debe ponerse en relación con los supuestos previstos en los apartados 13 y 16 del art. 219 LOPJ, que se alegan con carácter accesorio, en relación con las intervenciones previas de los magistrados en el procedimiento. Para concluir refiere que en los procedimientos de ejecución de sentencia implicaron que se adoptara la medida de naturaleza sancionadora prevista en el art. 92.4 LOTC, introducida por la Ley Orgánica 15/2015 y con ello se valoraran los mismos hechos que han supuesto la condena a la recurrente en el procedimiento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Dentro de las segundas circunstancias, examina la concurrencia de causas subjetivas de imparcialidad que evidencian la generación de un interés directo o indirecto que afecta a la debida imparcialidad. Afirma que la causa última de afectación a la imparcialidad subjetiva ha sido provocada por la reforma de la Ley Orgánica del Tribunal Constitucional, que tenía como único objetivo el de abordar, a través de las nuevas facultades sancionadoras y coercitivas del tribunal, el conflicto político en Cataluña, situando al tribunal como un actor principal en la gestión de un conflicto político. Añade que las sospechas generadas por la intervención previa en los hechos objeto del procedimiento deben vincularse también con aquellas generadas sobre aspectos objetivos relacionados con la tramitación de los diferentes recursos de amparo que se han presentado, pues todos ellos fueron admitidos a trámite “aspecto que no deja de ser especialmente llamativo pues en el año 2019 este tribunal únicamente admitió el 2,3 por 100 de la totalidad de demandas de amparo presentadas”. A ello añade que “habiéndose admitido y tramitado la totalidad de las demandas presentadas por los entonces coacusados, hasta en diez procedimientos se ha acordado en las respectivas sentencias la desestimación de la totalidad de los recursos por advertir que respecto sus (sic) pretensiones existía una causa de inadmisión relacionada con la falta de agotamiento de la vía judicial ordinaria”. Considera que la admisión generalizada de todos los recursos formulados y la desestimación de los mismos, debe ponerse en relación con “las diferentes noticias publicadas por los medios de comunicación que referían que este tribunal estaría ejecutando una estrategia por la que, mediante la admisión generalizada de todos los recursos, se impediría el acceso de mi representada y el resto de acusados al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junio de 2020 dictada por el Pleno del Tribunal Constitucional se acordó unir el escrito presentado formulando incidente de recusación respecto de todos los magistrados que componen el Pleno del Tribunal Constitucional, así como la formación de pieza separada de recusación con suspensión de las actuaciones y designar al magistrado don Santiago Martinez-Vares García para que proponga al Pleno la resolución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20 de mayo del 2020, el procurador de los tribunales don Emilio Martínez Benítez, en nombre y representación de doña Carme Forcadell i Lluis, formuló incidente de recusación para conocer del recurso de amparo núm. 1611-2020 contra todos los magistrados que en la actualidad componen el Tribunal Constitucional por concurrir, en todos ellos, las causas 7, 10 y 11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procede dilucidar si el Pleno de este tribunal resulta competente para conocer de una recusación que afecta a todos sus miembros, habida cuenta de que el artículo 227 LOPJ, de aplicación supletoria según dispone el 80 LOTC, impide a los jueces formar parte del órgano que ha de decidir sobre su propia recusación. Este tribunal se ha pronunciado ya sobre esta cuestión y ha considerado que cuando se recusa a la totalidad de sus miembros es inaplicable el citado art. 227 LOPJ. De acuerdo con la jurisprudencia constitucional (entre otros, ATC 269/2014, de 4 de noviembre, FJ 1), la regla establecida en el referido precepto, si bien, como se acaba de indicar, resulta aplicable con carácter general a los procesos constitucionales en virtud del art. 80 LOTC, ha de excepcionarse en los supuestos en los que su aplicación resulta incompatible con la especial naturaleza y estructura del Tribunal Constitucional. Así ocurre en los casos en los que, como en el que ahora se plantea, la recusación se dirige contra todos los magistrados que componen el Pleno. Como ha sostenido este tribunal, “la singular naturaleza del Tribunal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como hemos hecho en ocasiones precedentes en las que se ha planteado la recusación integral del colegio de magistrados, la aplicación del art. 227 LOPJ, pues solo así puede alcanzarse, de acuerdo con lo dispuesto en el art. 14 LOTC, el quorum imprescindible para que el tribunal pueda actuar” (AATC 268/2013, 269/2015 y 119/2017, de 7 de septiembre, y en el mismo sentido AATC 443/2007, de 27 de noviembre, FJ 1, y 387/2007, de 16 de octubre, FJ 3). Otra solución supondría una paralización inaceptable del ejercicio de la jurisdicción constitucional (AATC 80/2005, de 17 de febrero; 443/2007, de 27 de noviembre; 126/2008, de 14 de mayo; 268/2014, de 4 de noviembre, y 269/2014, de 4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las primeras resoluciones dictadas en materia de recusación, este tribunal ha admitido la posibilidad de denegar su tramitación cuando razones procesales o de fondo así lo exijan (AATC 109/1981, de 30 de octubre, y 269/2014, de 4 de noviembre, entre otros muchos). El rechazo a limine de una recusación puede producirse como consecuencia de su defectuoso planteamiento procesal. También es posible inadmitir a trámite las recusaciones que, por el momento en que se suscitan, su reiteración u otras circunstancias ligadas al proceso concreto, son formuladas con manifiesto abuso de derecho o entrañan fraude de ley o procesal (art. 11.2 LOPJ), tal y como reiteradamente ha sostenido la jurisprudencia constitucional (AATC 383/2006, de 2 de noviembre, FJ 2; 394/2006, de 7 de noviembre, FJ 2, y ATC 119/2017, de 7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los motivos que justifican el rechazo a limine se incluyen los supuestos en los que la recusación se dirige contra la totalidad de los magistrados que forman el Tribunal Constitucional. En relación con este tipo de recusaciones el tribunal ha señalado que “vienen a coincidir dos órdenes de peculiaridades. El primero deriva de la especificidad del Tribunal Constitucional, órgano constitucional único en su género, no integrado en el poder judicial, compuesto por doce únicos magistrados, sin posibilidad alguna de sustitución interna, a cuyo Pleno corresponde la competencia en materia de recusación de sus magistrados [art. 10.1 k) LOTC]. El segundo y principal deriva de la naturaleza misma de la recusación, en la que, propiamente, no se recusa a los magistrados, sino al propio Tribunal Constitucional (ATC 380/1993, de 21 de diciembre, FJ 4). El tribunal ha apreciado que, como en estos casos la recusación va referida al órgano mismo y no a sus integrantes, “carece de sustantividad jurídica” y no es acreedora de una decisión sobre el fondo (ATC 269/2014, de 4 de noviembre, FJ 2). Por ello, las recusaciones que se formulan contra todo el colegio de magistrados “son impertinentes y abusivas y deben ser rechazadas sin más” (ATC 80/2005, de 17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promotora de este incidente alega que la recusación no se suscita de forma “genérica” o frente “al tribunal”, sino que se formula por la concurrencia de causas de recusación en todos sus magistrados. Por ello, considera que en este supuesto no resulta aplicable la doctrina expuesta y procede examinar si en cada uno de los magistrados concurren las causas de recusación alegadas.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del presente incidente ha de tomar en consideración las siguientes premisas: i) que la recusación se plantea individual y nominalmente contra los doce magistrados de este tribunal; ii) que esos magistrados son los actuales componentes del Tribunal Constitucional y, por tanto, conforman la totalidad del Pleno, sus Salas y Secciones; iii) y que las causas de recusación que se invocan están vinculadas, en todos los casos, a resoluciones dictadas por el Pleno de este tribunal, del que formaron parte los magistrados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inadmisión liminar a que se refiere la jurisprudencia citada en el fundamento jurídico anterior no se asocia al empleo de una determinada terminología en la redacción del incidente, sino al objeto y finalidad real de la recusación planteada. En el presente caso, aunque formalmente se recusa individualmente a cada uno de los magistrados, la recusación tiene como objeto recusar al Tribunal Constitucional. La referencia personalizada a cada uno de los magistrados no impide apreciar que sea una recusación genérica de todo el colegio de magistrados, pues (i) se recusa a todos los magistrados, (ii) las causas de recusación invocadas son las mismas para todos ellos y, lo que es determinante, (iii) se fundamenta no en la existencia de circunstancias personales que pudieran poner en duda su imparcialidad, sino en su condición de magistrados del Tribunal Constitucional. En efecto, quien promueve este incidente considera que los magistrados incurren en las causas de recusación invocadas porque en el ejercicio de su cargo de magistrado del Tribunal Constitucional han dictado resoluciones en otros procesos constitucionales que pueden tener relación con el asunto del que trae causa el recurso de amparo. Tal reproche pone de manifiesto que a quien realmente se está recusando no es a cada uno de los magistrados, sino al Tribunal Constitucional que es el órgano que en ejercicio de las funciones jurisdiccionales que le corresponden, ha dictado las resoluciones que, según sostiene quien promueve este incidente, pueden crear un prejuicio en los magistrados que menoscabe las exigencias de imparcialidad. Este planteamiento es incompatible con la naturaleza del Tribunal Constitucional que, como se ha señalado, es un tribunal único en su género cuyos miembros son insustituibles y a quien le corresponde resolver los procesos constitucionales que la Constitución y su Ley Orgánica le atribuye, sin que pueda eximirse de esta función por haber resuelto otros procesos que puedan tener relación con las cuestiones planteadas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argumentación dada por quien promueve este incidente no puede prosperar. La tacha dirigida contra todos los magistrados que conforman este tribunal es equivalente a la descalificación del órgano mismo para conocer del presente recurso de amparo, por lo que, de acuerdo con la jurisprudencia constitucional, la recusación formulada carece de sustantividad jurídica y no es acreedora de una decisión sobre el fondo (ATC 268/2014, de 4 de noviembre FJ 2; 269/2014, de 4 de noviembre, FJ 2; 119/2017, de 7 de septiembre, FJ 3 ;125/2017, de 20 septiembre, FJ 5, y 132/2017, de 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en relación con la alegación por la que se aduce que, conforme a lo razonado en el fundamento jurídico 2 de la STC 155/2019, cuyo contenido se reproduce en el fundamento jurídico 2 de las SSTC 9/2020, 11/2020 y 22/2020, este tribunal les ha dirigido una suerte de “invitación a recusar” ha de señalarse que, como pone de manifiesto el tenor de lo declarado en las referidas sentencias, en ningún momento se sugiere a los demandantes, directa ni indirectamente, que dirijan la recusación contra todos los miembros del tribunal. En esencia, lo que este tribunal puso de relieve es que, en los términos en que se formuló el alegato relativo a la imposibilidad de recusar de forma efectiva a los magistrados del Tribunal Constitucional en los procesos de los que traen causa las sentencias citadas, la queja presentaba un manifiesto carácter preventivo, toda vez que la referida recusación no se había planteado previamente.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recusación formulada por doña Carme Fordadell i Lluis.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