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21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en el recurso de amparo núm. 3068-2019,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mayo de 2019, tuvo entrada en el registro general de este Tribunal Constitucional un escrito de la entidad Penrei Inversiones, S.L., por el que interpuso recurso de amparo contra el auto de 21 de marzo de 2019 del Juzgado de Primera Instancia e Instrucción núm. 6 de Lorca, que desestimó el recurso de reposición formulado frente a otro auto anterior de fecha de 18 de diciembre de 2018, dictado por el mismo juzgado, que inadmitió por extemporáneo el escrito de oposición a la ejecución hipotecaria promovida por Banco de Sabadell,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Primera Instancia e Instrucción núm. 6 de Lorca se tramita, a instancia de Banco de Sabadell, S.A., frente a las sociedades Euroinversiones Inmobiliarias Costa Sur, S.L., y Penrei Inversiones, S.L., el proceso de ejecución hipotecaria núm. 45-2018.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Despachada ejecución por auto de 23 de mayo de 2018, las sociedades demandadas fueron requeridas y notificadas con fecha de 25 de mayo de 2018 a través de la sede judicial electrónica.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sociedad ejecutada, Penrei Inversiones, S.L., se personó en las actuaciones el 28 de agosto de 2018 para poner de manifiesto que, con fecha 10 de julio de 2018, había recibido una comunicación del servicio de notificaciones electrónicas en la que le participaban la existencia de una notificación pendiente de entrega y que, al acceder a su contenido, pudo constatar quince archivos; expone en su escrito que la comunicación practicada carecía de validez al no constar enviados todos los documentos que se citan, en particular el auto que acordada el despacho de ejecución y, con amparo en el art. 166 de la Ley de enjuiciamiento civil (LEC), solicitó la nulidad del acto de comunicación.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petición de nulidad fue tramitada y resuelta por auto de 13 de diciembre de 2018 en sentido desestimatorio. En el fundamento jurídico único se expresa que “[E]n el caso que nos ocupa, es cierto que el auto por el que se despachaba ejecución no se incluyó entre la documentación que se remitió a la mercantil ejecutada a través de la sede electrónica, y que reconoce recibida el día 25 de mayo de 2018, esto es, la demanda de ejecución y los documentos que la acompañaban, así como el decreto despachando ejecución, donde se incluía igualmente la mención a las cantidades reclamadas y por las que se debía realizar el requerimiento de pago y la propia cédula de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la ejecución, algo que no realizó, por lo que sólo al mismo es achacable la supuesta indefensión que se alega. En consecuencia, procede la desestimación de la nulidad de actuaciones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Durante la sustanciación del incidente de nulidad planteado, el órgano judicial volvió a remitir el 1 de junio de 2018, por la misma vía telemática, otra notificación con relación al mismo proceso de ejecución y a través del cual se envía el auto en el que se despachaba ejecución y, con fecha 20 de julio de 2018 se remite nuevo archivo consistente en un auto aclaratorio del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sociedad ejecutada formuló oposición al despacho de ejecución, que fue inadmitida por extemporánea mediante auto de 14 de septiembre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Contra la anterior resolución interpuso dicha ejecutada recurso de reposición al entender que las diligencias de notificación y requerimiento no habían sido realizadas el día 25 de mayo de 2018 sino, en su caso, a partir de esa fecha y hasta el 10 de julio de 2018, dado que la comunicación remitida a través de la dirección electrónica habilitada no podía entenderse más que un aviso de puesta a disposición o descarga de su contenido durante un plazo determinado (en el caso desde el 25 de mayo al 10 de julio de 2018). Entenderlo de otro modo, además de infringir los arts. 135, 152, 160 y 162 LEC, vulneraría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recurso fue resuelto por auto desestimatorio de 21 de marzo de 2019, al constatar el órgano judicial su condición de persona jurídica y, como tal, su obligación de relacionarse con la administración de justicia por medios electrónicos, de conformidad con lo previsto en la disposición transitoria cuarta de la Ley 42/2015, de 5 de octubre, de reforma de la Ley 1/2000, de 7 de enero, de enjuiciamiento civil así como en los arts. 14.2 Ley 39/2015 y el Real Decreto 1065/2015, de 27 de enero, sobre comunicaciones electrónicas en la administración de justicia en el ámbito territorial del Ministerio de Justicia y por el que se regula el sistema Lexnet. En su fundamento jurídico 2 concluye que “en el presente caso, consta que la notificación se puso a disposición de las recurrentes en fecha 25-05-2018 no accediendo al contenido hasta el día 26-07-2018 (fuera de los tres días que establece la normativa procesal), presentando los escritos de oposición a la ejecución en fecha 04-09-2018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Subraya que incluso la notificación realizada tampoco cumple con las formalidades de las comunicaciones electrónicas, puesto que no existe constancia de la fecha de recepción del correo electrónico por el destinatario “y ni tan siquiera si con ello, con la remisión de ese correo electrónico se da satisfacción a esa necesidad de conocimiento del destinatario del contenido de los actos de notificación […], pues tales documentos no están incluidos en el correo electrónico remitido”.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poner de manifiesto la doctrina de este tribunal sobre la trascendencia de los actos de comunicación y la relevancia que la corrección de los mismo adquiere desde una perspectiva constitucional solicita, con estimación del amparo, acuerde la nulidad de los autos de 14 de septiembre de 2018, de 18 de diciembre de 2018 y de 21 de marzo de 2019, y ordene reponer las actuaciones al momento previo al dictado de la primera de aquéllas,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45-2018 seguido ante el Juzgado de Primer Instancia e Instrucción núm. 6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17 de junio de 2019, visto que los recursos de amparo 3068-2019 y 3057-2019 inicialmente turnados respectivamente, a las Salas Primera y Segunda de este tribunal, provienen del mismo proceso, se acordó, en atención a esta conexión objetiva, previa conformidad de la señora presidenta de la Sala Segunda (acuerdo del Pleno de 23 de octubre de 2013) y en ejercicio de las facultades que a esta presidencia atribuye el art. 15 de la Ley Orgánica 2/1979, que ambos recursos prosigan su tramitación ante la Sala Segunda, debiendo ser turnados al mismo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Tercera de la Sala Segunda de este Tribunal Constitucional, dictó diligencia de ordenación el 18 de diciembre de 2019 solicitando al juzgado a quo la remisión de certificación acreditativa de la interposición o no de recurso de apelación contra alguna de las resoluciones dictadas en las actuaciones principales o en alguna pieza separada en el procedimiento de ejecución hipotecaria seguido en ese juzgado con el número 45-2018, y si ha recaído resolución para que se remita a la Sala testimonio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23 de enero de 2020, el Juzgado de Primera Instancia e Instrucción núm. 6 de Lorca remitió a este tribunal certificación que en el procedimiento referenciado consta recurso de reposición contra el auto de fecha de 17 de diciembre de 2019, sobre sucesión procesal, que se encuentra en fase de resolver, no constando ningún otro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Tercera de este tribunal dictó providencia el 15 de junio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Tercera ha examinado el recurso de amparo y ha acordado admitirlo a trámite, apreciando que concurre en el mismo una especial trascendencia constitucional [art. 50.1 Ley Orgánica del Tribunal Constitucional (LOTC)] porque el recurso plantea un problema o afecta a una faceta de un derecho fundamental sobre la que no hay doctrina de este tribunal [STC 155/2009, FJ 2, a)] y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núm. 6 de Lorca a fin de que, en plazo que no exceda de diez días, se emplace a quienes hubieren sido parte en el procedimiento, excepto la parte recurrente en amparo, para que en el plazo de diez días puedan comparecer, si lo desean,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pieza separada para la tramitación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nueva providencia dictada por la Sección Tercera de este tribunal en la misma fecha de la admisión del recurso, el 15 de junio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entidad recurrente presentó su escrito de alegaciones con fecha 29 de junio de 2020, interesando se acceda a lo solicitado en cuanto a la suspensión del procedimiento de ejecución hipotecaria referido. 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58/2018 de 4 de junio, y 117/2018, de 29 de octubre,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su parte, el fiscal ante este Tribunal Constitucional formalizó su escrito de alegaciones en esta pieza el 7 de julio de 2020,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 LOTC y doctrina general sobre la procedencia de la suspensión del acto impugnado en amparo, señala que este tribunal ha establecido como criterio general, “que no procede suspender la ejecución de aquellos fallos judiciales que admiten la restitución íntegra de lo ejecutado (como de ordinario ocurre, aunque no sin excepciones, en las condenas de contenido patrimonial)”. Que no obstante ello, “tampoco las condenas de contenido patrimonial pueden quedar absolutamente marginadas de la posibilidad de suspenderse, habrá que valorar en estos casos, con especial énfasis que no se produzca perjuicio para el interés general, lo que normalmente no ocurrirá en los pleitos puramente civiles, y de manera más concreta que no se acabe implicando los derechos presentes o futuros de terceros que puedan acabar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la doctrina a la solicitud formulada por la recurrente, se entiende por el fiscal que la misma “no parece muy fundamentada […] ya que se limita a la mera petición sin explicitar ninguna razón. Acordar la suspensión solicitada comportaría la drástica medida que supondría la paralización del procedimiento ejecutivo, que por su propia naturaleza goza de las características de celeridad y sumariedad.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no tiene dudas de que este tribunal puede acordar dicha medida, ex art. 56.3 LOTC, conforme tiene establecido nuestra doctrina, con cita del ATC 95/2015, de 25 de mayo, FJ 4. Entiende que “nos encontramos en uno de esos supuestos en que tratándose de un (sic)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45-2018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Penrei Inversiones, S.L.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3068-2019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