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en el recurso de amparo núm. 6503-2019,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noviembre de 2019, tuvo entrada en el registro general de este Tribunal Constitucional un escrito de la procuradora doña Blanca Berriatua Horta, en representación de la entidad Penrei Inversiones, S.L., por el que interpuso recurso de amparo contra el auto de 10 de enero de 2019 del Juzgado de Primera Instancia e Instrucción núm. 5 de Lorca, que inadmitió el escrito de oposición a la ejecución hipotecaria promovida por Banco de Sabadell, S.A.; y contra el auto del mismo juzgado, de 23 de septiembre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10 de enero de 2019, el juzgado de primera instancia e instrucción ya indicado dictó un auto en el procedimiento de ejecución hipotecaria núm. 355-2018 por el que acordó: “Inadmitir a trámite la oposición formulada por la parte ejecutada […] Penrei Inversiones, S.L. […] por estar presentada fuera de plazo”, advirtiendo en pie de recurso que contra dicha resolución cabía recurso de reposición. 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de la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23 de septiembre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afirmar que “[i]nterpretan las recurrentes de forma errónea la normativa aplicable”, con cita de los arts. 162.2 de la Ley de enjuiciamiento civil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sistemas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15/06/2018 no accediendo al contenido hasta el día 25/07/2018 (fuera de los diez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[sic]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enero de 2019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23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16 de diciembre de 2019, el presidente de la Sala Primera de este tribunal dictó el siguiente acuerdo de conexión: “Visto que los recursos de amparo 6503-2019 y 6502-2019, inicialmente turnados, respectivamente, a las Salas Primera y Segunda de este tribunal, provienen del mismo proceso, dispongo, en atención a esta conexión objetiva, previa conformidad del señor presidente de la Sala Segunda (acuerdo del Pleno, de 23 de octubre de 2013) y en ejercicio de las facultades que a esta presidencia atribuye el art. 15 de la Ley Orgánica 2/1979, que ambos recursos prosigan su tramitación ante la Sala Segunda, debiendo ser turnados al mismo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29 de junio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Constando ya testimonio de la ejecución hipotecaria 355-2018 en el recurso de amparo núm. 6502-2019, recurso al que se encuentra conexionado el presente recurso y, en aplicación de lo dispuesto en el art. 51 LOTC, diríjase atenta comunicación al Juzgado de Primera Instancia e Instrucción núm. 5 de Lorca, a fin de que, en plazo que no exceda de diez días, y toda vez que ya constan recibidas las actuaciones de instancia, emplace,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29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9 de julio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fiscal ante este Tribunal Constitucional formalizó su escrito de alegaciones en esta pieza el 16 de julio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del ATC 127/2015, de 27 de julio, que condensa la doctrina general sobre la procedencia excepcional de la suspensión del acto impugnado en amparo, excepto si el recurrente acredita suficientemente la imposibilidad de reparación que dicha ejecución puede causar sobre sus derechos fundamentales, también cuando se trata de condenas de contenido patrimonial, señala que la aplicación de esta doctrina al caso planteado supone rechazar la solicitud de suspensión, ya que esta la aduce la recurrente “sin explicitar ninguna razón que permita afirmar que la continuación del procedimiento judicial incluso con desplazamiento posesorio, provoque un perjuicio determinante de la pérdida de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en cambio,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posible adopción de esta otra medida por el tribunal, ex art. 56.3 LOTC, viene establecida en nuestra doctrina, con cita del ATC 2/2019, de 9 de enero (FJ 4), procede también en este caso pues “nos encontramos en uno de esos supuestos en que, de no adoptarse […],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que [sic]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355-2018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355-2018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