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22 de octubre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Andrés Ollero Tassara, don Santiago Martínez-Vares García y la magistrada doña María Luisa Balaguer Callejón, en el recurso de amparo núm. 1921-2020, promovido por la entidad Penrei Inversiones,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 de septiembre de 2020, el fiscal ante el Tribunal Constitucional interpuso recurso de súplica contra la providencia de 6 de julio de 2020, en la que se decidió la inadmisión a trámite del recurso de amparo núm. 1921-2020, interpuesto por Penrei Inversiones, S.L., contra el auto de 3 de mayo de 2019 dictado por el Juzgado de Primera Instancia e Instrucción núm. 1 de Lorca, en el procedimiento de ejecución hipotecaria núm. 348-2018, y contra el auto de 10 de febrero de 2020, dictado por la Sección Primera de la Audiencia Provincial de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el presente recurso de súplica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1 de Lorca se sigue procedimiento de ejecución hipotecaria núm. 348-2018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43.459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27 de junio de 2018 se acordó despachar ejecución frente las sociedades demandadas por la cantidad de 2451,71 € de principal más intereses y costas presupuestados. El servicio de notificaciones de la Fábrica Nacional de Moneda y Timbre remitió a la demandante de amparo, a través de la dirección electrónica habilitada, un aviso de notificación del citado auto que le fue comunicado por dicho medio el 9 de octubre de 2018. En dicha comunicación se informa que la notificación estará disponible hasta el 24 de noviembre del mismo año, accediendo la recurrente de amparo efectivamente a la página web y a la notificación dentro del plazo en que la misma se encontraba disponible.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Penrei Inversiones, S.L., presentó escrito de oposición a la ejecución despachada. Por auto de 3 de mayo de 2019 se acordó su inadmisión por considerar la pretensión extemporánea.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apelación contra el auto de inadmisión alegando, en síntesis, que las actuaciones de notificación y requerimiento habían sido realizadas en la fecha en que accedió a la web y procedió a su descarga, y que la comunicación remitida a través de la dirección electrónica habilitada no puede entenderse más que un aviso de puesta a disposición o descarga de su contenido durante un plazo determinado, pues entenderlo de otro modo vulnera el art. 24 CE. Tras su tramitación el recurso de apelación fue desestimado por auto de 10 de febrero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escrito registrado en este tribunal el 16 de abril de 2020, la entidad Penrei Inversiones, S.L., representada por la procuradora de los tribunales doña Blanca Berriatua Horta y bajo la dirección del letrado don Anju Nirmala Benavent Rodriguez, interpuso recurso de amparo contra el auto de 3 de mayo de 2019 dictado por el Juzgado de Primera Instancia e Instrucción núm. 1 de Lorca, en el procedimiento de ejecución hipotecaria núm. 348-2018 y contra el auto de 10 de febrero de 2020, dictado por la Sección Primera de la Audiencia Provincial de Murcia. Por medio de otrosí, solicitó la suspensión del procedimiento de ejecución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Tras la admisión a trámite de numerosos recursos de amparo de contenido idéntico o muy similar, la Sección Segunda del Tribunal Constitucional apreció que la resolución de la presente demanda de amparo no revestía especial trascendencia constitucional [art. 50.1 b) de la Ley Orgánica del Tribunal Constitucional (LOTC)]. Mediante providencia de 6 de julio de 2020, la Sección acordó no admitir a trámite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interpuso recurso de súplica ex art. 50.3 LOTC contra la providencia de 6 de julio de 2020, interesando que se dejara esta sin efecto, dictándose otra en su lugar admitiendo el recurso de amparo. El Ministerio fiscal argumenta en su recurso que el contenido de la demanda es idéntico al de otras muchas interpuestas por la misma demandante o por Penrei Inversiones, S.L., contra resoluciones idénticas de diversos juzgados de primera instancia e instrucción de Lorca en que las demandantes son ejecutadas y en los que se alegaba como motivo de especial trascendencia el mismo que el aducido en la presente demanda, siendo tales demandas de amparo admitidas al apreciarse su especial trascendencia constitucional, habiéndose resuelto varios de dichos recursos estimando la demanda y acordando la nulidad de las resoluciones objeto de amparo. Afirma que desde la sentencia del Pleno 40/2020, de 27 de febrero, se han ido sucediendo múltiples pronunciamientos en igual sentido. Indica que existen, con posterioridad a la interposición de la presente demanda, recursos de amparo que han sido admitidos por la Sala Primera y Segunda del Tribunal Constitucional con un contenido sustancialmente idéntico al de la presente demanda, lo que ocasiona una contradicción lesiva de la seguridad jurídica y, sobre todo, en el que la vulneración del derecho alegado podría adquirir una especial intensidad al haberse estimado a fecha de hoy muchas de las admitidas y rechazarse a limine las inadmitidas. Afirma la conveniencia de llegar a una solución común y homogénea de manera que la especial trascendencia constitucional pudiera quedar integrada, ante la particular situación producida en este caso, por la superior defensa del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2 de septiembre de 2020, se acordó dar traslado del recurso a la representación del recurrente y concederle un plazo común de tres días a fin de que alegue lo que estime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formuló alegaciones mediante escrito registrado el 10 de septiembre de 2020, en el que manifiesta su plena conformidad con el recurso de súplica interpuesto por el Ministerio fiscal y solicita a este tribunal que dicte una resolución estimatoria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 la vista de las alegaciones del Ministerio fiscal, procede estimar el recurso de súplica interpuesto y dejar sin efecto, en consecuencia, la providencia de esta Sección de 6 de julio de 2020 dictándose otra en su lugar por la que se acuerde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recordarse, para dar respuesta a algunos argumentos utilizados por las partes que como ya se ha afirmado por este tribunal, tras la reforma llevada a cabo por Ley Orgánica 6/2007, de 24 de mayo,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la que el recurso estaba orientado primordialmente a reparar las lesiones causadas en los derechos fundamentales y libertades públicas del demandante susceptibles de amparo (por todas, STC 208/2015, de 5 de octubre,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mera admisión de otros recursos de amparo idénticos al actual, presentados por el recurrente de amparo o por la otra parte ejecutada en los procedimientos de ejecución hipotecaria seguidos ante los juzgados de primera instancia e instrucción de Lorca, e incluso, el hecho de que se hayan dictado numerosas sentencias desde la STC 40/2020, estimando las demandas y reconociendo la existencia de la vulneración del derecho fundamental invocado, no es condición suficiente para admitir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siguiendo el argumento del Ministerio fiscal, al dictarse la providencia de inadmisión, otras secciones de este tribunal estaban admitiendo a trámite demandas idénticas a la actual apreciando la concurrencia de la causa de especial trascendencia a la que ya nos hemos referido [la señalada en la STC 155/2009, FJ 2 a)], y de una eventual futura estimación de estas demandas se derivaría una contradicción lesiva de la seguridad jurídica de la mercantil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razones de economía procesal pueden aconsejar que, tras examinar nuevamente la demanda de amparo, la Sección acuerde su admisión (ATC 239/2014, de 10 de octubre) en el propio auto estimatorio del recurso de súplica. En este caso, examinada nuevamente la demanda de amparo, procede acordar su admisión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contra la providencia de 6 de julio de 2020 que declaró la inadmisión del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Admitir a trámite el recurso de amparo núm. 1921-2020 interpuesto por Penrei Inversiones, S.L.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Formar la pieza separada para la tramitación del incidente de suspensión, concediendo plazo común de tres días a la parte recurrente y al Ministerio Fiscal para que aleguen lo que estimen oportuno (art. 56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