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138</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16 de noviembre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y don Cándido Conde-Pumpido Tourón y la magistrada doña María Luisa Balaguer Callejón, en el recurso de amparo núm. 6091-2019, promovido por la entidad Penrei Inversiones, S.L., en autos del Juzgado de Primera Instancia e Instrucción núm. 5 de Lorca,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25 de octubre de 2019, la entidad Penrei Inversiones, S.L., representada por la procuradora de los tribunales doña Blanca Berriatua Horta y bajo la dirección de la letrada doña Anju Nirmala Benavent Rodríguez, interpuso recurso de amparo contra los autos de 21 de septiembre de 2018 y de 10 de septiembre de 2019, dictados por el Juzgado de Primera Instancia e Instrucción núm. 5 de Lorca, en el procedimiento de ejecución hipotecaria núm. 385-2018, por los que, respectivamente, se inadmite por extemporánea la demanda de oposición formulada y se confirma esta última decisión, tras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según se recogen en la demanda y en la documentación aportada,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5 de Lorca se sigue procedimiento de ejecución hipotecaria núm. 385-2018 promovido por la entidad Banco de Sabadell, S.A., frente a las sociedades Euroinversiones Inmobiliarias Costa Sur, S.L., en calidad de prestataria e hipotecante, y Penrei Inversiones, S.L., en calidad de titular registral de un derecho de uso y disfrute sobre el inmueble hipotecado, la finca registral 43361 del registro de la propiedad núm. 3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7 de junio de 2018 se acordó despachar ejecución frente las sociedades demandadas por la cantidad de 8199,12 € de principal y 4510 € como intereses y costas presupuestados. El servicio de notificaciones de la Fábrica Nacional de Moneda y Timbre remitió a la demandante de amparo, a través de la dirección electrónica habilitada, un aviso de notificación del citado auto que le fue comunicado por dicho medio el 13 de junio de 2018. En dicha comunicación se informa que la notificación estará disponible hasta el 29 de julio del mismo año, accediendo la recurrente de amparo efectivamente a la página web y a la notificación dentro del plazo en que la misma se encontraba disponible.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legal de Penrei Inversiones, S.L., presentó escrito de oposición a la ejecución despachada con fecha 25 de julio de 2018. Por auto de 21 de septiembre de 2018 se acordó su inadmisión por considerar la pretensión extemporánea, tomando como fecha de notificación el 13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13 de junio de 2018, sino en la fecha en que accedió a la web y procedió a su descarga, y que la comunicación remitida a través de la dirección electrónica habilitada no puede entenderse más que un aviso de puesta a disposición o descarga de su contenido durante un plazo determinado (en el caso desde el 13 de junio hasta el 29 de julio de 2018), pues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Tras su tramitación, el recurso de reposición fue desestimado por auto de 10 de septiembre de 2019. Según esta resolución, la recurrente tiene la condición de persona jurídica y, por tanto, está obligada a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373.3 LEC. Según el auto, en el presente caso “consta que la notificación se puso a disposición de las recurrentes en fecha 13/06/2018, no accediendo al contenido hasta el día 24/07/2018 (fuera de los tres días que establece la normativa procesal), presentando los escritos de oposición a la ejecución en fecha 25/07/2018, claramente fuera del plazo legalmente establecido en el art. 556.1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con la interpretación ofrecida en el auto objeto de impugnación, el juzgado “no ha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 tal y como reconoce la sentencia 37/1984 del Tribunal Constitucional”. Justifica la especial trascendencia constitucional aludiendo a la novedosa implantación de procesos de notificación por medios electrónicos en el ámbito de la jurisdicción civil en relación con las exigencias procesales derivadas de la regulación de la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segundo otrosí la suspensión de la continuación del procedimiento de ejecución hipotecaria alegando que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15 de junio de 2020 la Sección Segunda de este tribunal acordó no admitir a trámite el recurso de amparo por no apreciar en el mismo la especial trascendencia constitucional que, como condición para su admisión, requiere el art. 50.1.b) LOTC (STC 155/2009, de 25 de junio, FJ 2). Dicha providencia se dejó sin efecto en virtud del auto de 18 de septiembre de 2020 que estimó el recurso de súplica interpuesto contra la misma por el Ministerio Fiscal.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sendas providencias de 21 de septiembre de 2020 la Sección Segunda de este tribunal acordó admitir a trámite el recurso de amparo y dirigir comunicación al Juzgado de Primera Instancia e Instrucción núm. 5 de Lorca, a fin de que, en plazo que no exceda de diez días, remitiera certificación o fotocopia adverada de las actuaciones correspondientes a los autos de ejecución hipotecaria y emplazara por el mismo plazo a quienes hubieran sido parte en el proceso del que trae causa el presente recurso de amparo; por otra parte se acordaba formar pieza separada para la tramitación de la suspensión del procedimiento de ejecución hipotecaria solicitada en el recurso y conceder plazo común de tres días al Ministerio Fiscal y al solicitante de amparo de conformidad con lo prevenido en el art. 56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7 de octubre de 2020 la parte demandante formuló sus alegaciones, reiterando lo expuesto en el otrosí de su demanda y trascribiendo como fundamento de su pretensión lo expresado en parte de los AATC 21/2018, de 5 de marzo, 58/2018, de 4 de junio y 117/2018,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19 de octubre de 2020, el Ministerio Fiscal se opuso a la pretendida suspensión del procedimiento de ejecución hipotecaria, e interesó que, alternativamente, se acuerde la anotación preventiva de la demanda de amparo en el registro de la propiedad, aunque esta última medida no haya sido solicitada en el recurso. Tras exponer la doctrina de este tribunal sobre suspensión de resoluciones y actos impugnados, aduce que en el presente caso la petición del demandante no parece muy fundada, sostiene que acordar la suspensión comportaría la paralización del procedimiento ejecutivo, que por su propia naturaleza goza de las características de celeridad y sumariedad. Considera mucho más eficaz la anotación preventiva de la demanda en el registro de la propiedad, pues a través de dicha medida cautelar es posible evitar que un hipotético tercer adquirente del inmueble hipotecado, en virtud de su buena fe registral, quede especialmente protegido, perjudicando así los intereses concernidos.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suspensión cautelar instada por la parte recurrente en amparo y dirigida frente al procedimiento de ejecución hipotecaria núm. 385-2018, seguido en el Juzgado de Primera Instancia e Instrucción núm. 5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 Por esta razón, la pretensión cautelar analizada se configura como una medida de carácter excepcional y de aplicación restrictiva (por todos, AATC 117/2015, de 6 de julio, FJ 1; 59/2017, de 24 de abril, FJ 1, y 177/2019, de 16 de diciembre,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FJ 1; 147/2017, de 13 de noviembre, FJ 1, y 177/2019,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282/2014, de 17 de noviembre, FJ 4, 59/2015, de 16 de marzo, FJ 2, y 177/2019,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a la que se ha hecho mención permite concluir, de acuerdo con lo solicitado por el Ministerio Fiscal, que resulta improcedente la suspensión solicitada del procedimiento de ejecución hipotecaria y, por el contrario,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 igual que en procesos de amparo precedentes (AATC 81/2019, de 15 de julio; 148/2019, 155/2019 y 156/2019, de 25 de noviembre, FJ 3, y 170/2019, 171/2019, 173/2019, 174/2019 y 177/2019 de 16 de diciembre, FJ 3), 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De las actuaciones judiciales que han sido remitidas por el juzgado se desprende que al solicitarse el amparo el procedimiento se encontraba en la fase inicial, una vez rechazada la oposición a la ejecución. En tales circunstancias no es posible afirmar que la continuación del curso del procedimiento judicial, incluso si se produjera un desplazamiento posesorio, provoque por sí sola un perjuicio determinante de la perdida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como se anticipó, se reputa medida suficiente e idónea para evitar el perjuicio derivado de que la adquisición del bien por tercero lo haga irreivindicable. Esta misma ha sido la solución acogida recientemente, entre otros, en los AATC 148/2019, 155/2019 y 156/2019, FJ 3, y 170/2019, 171/2019, 173/2019, 174/2019 y 177/2019,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hicimos en el fundamento tercero de los mencionados autos, 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385-2018, seguido en el Juzgado de Primera Instancia e Instrucción núm. 5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noviembre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