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16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don Cándido Conde-Pumpido Tourón, y la magistrada doña María Luisa Balaguer Callejón, en el recurso de amparo núm. 7506-2019, promovido por la entidad Euroinversiones Inmobiliarias Costa Sur, S.L., en autos del Juzgado de Primera Instancia e Instrucción núm. 4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2019, la entidad Euroinversiones Inmobiliarias Costa Sur, S.L., representada por la procuradora de los tribunales doña Blanca Berriatua Horta y bajo la dirección del letrado don Marcelino Gilabert García, interpuso recurso de amparo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29 de junio de 2018, sino el 3 de agosto,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(LOTC) (STC 155/2009, de 25 de junio, FJ 2). Dicha providencia se dejó sin efecto en virtud del auto de 18 de septiembre de 2020 que estimó el recurso de súplica interpuesto contra la misma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sendas providencias de 21 de septiembre de 2020 la Sección Segunda de este tribunal acordó admitir a trámite el recurso de amparo y dirigir comunicación al Juzgado de Primera Instancia e Instrucción núm. 4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7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22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372-2018,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372-2018,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