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7132-2019,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15 de noviembre de 2018 del Juzgado de Primera Instancia e Instrucción núm. 4 de Lorca, que inadmitió el escrito de oposición a la ejecución hipotecaria promovida por Banco de Sabadell, S.A., y contra el auto del mismo juzgado, de 24 de octubre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15 de noviembre de 2018, el juzgado de primera instancia e instrucción ya indicado dictó un auto en el procedimiento de ejecución hipotecaria núm. 368-2018 por el que acordó: “Inadmitir a trámite la oposición formulada por la parte ejecutada Euroinversiones Inmobiliarias Costa Sur, S.L., […] por estar presentada fuera de plazo”,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24 de octubre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al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24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continuación del procedimiento de ejecución hipotecaria 368-2018 seguido ante el Juzgado de Primera Instancia e Instrucción número 4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Secretaría de Justicia de la Sección Cuarta, Sala Segunda, de este Tribunal Constitucional, se solicitó al juzgado a quo la remisión de certificación o fotocopia adverada de las actuaciones correspondientes del procedimiento de ejecución hipotecaria núm. 368-2018.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4 de noviembre de 2020 del siguiente tenor: “La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habiéndose interesado anteriormente la remisión de copia testimoniada de la ejecución hipotecaria 368-2018,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12 de noviembre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17 de noviembre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 de la Ley Orgánica del Tribunal Constitucional (LOTC) y doctrina general sobre la procedencia de la suspensión del acto impugnado en amparo, con cita del ATC 227/1999, de 27 de octubre, FFJJ 2 y 3, y otras resoluciones anteriores, en el sentido de que lo procedente es acordar solamente la suspensión cuando de no hacerlo se producirían perjuicios para los derechos fundamentales de imposible o muy difícil reparación, señala el escrito que, “en el presente caso, la petición de suspensión del procedimiento ejecutivo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prosigue diciendo: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 Añade que la medida puede acordarla este tribunal ex art. 56.3 LOTC, con cita del ATC 95/2015, de 25 de mayo, FJ 4, y que “nos encontramos en uno de esos supuestos en que tratándose de un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368-2018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368-2018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