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30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7582-2019,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diciembre de 2019, tuvo entrada en el registro general de este Tribunal Constitucional un escrito de la procuradora doña Blanca Berriatua Horta, en representación de la entidad Penrei Inversiones, S.L., por el que interpuso recurso de amparo contra el auto de 20 de noviembre de 2018, del Juzgado de Primera Instancia e Instrucción núm. 4 de Lorca, que inadmitió el escrito de oposición a la ejecución hipotecaria promovida por Banco de Sabadell, S.A., y contra el auto del mismo juzgado, de 11 de noviembre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20 de noviembre de 2018, el juzgado de primera instancia e instrucción ya indicado dictó un auto en el procedimiento de ejecución hipotecaria núm. 361-2018 por el que acordó: “Inadmitir a trámite la oposición formulada por la parte ejecutada Euroinversiones Inmobiliarias Costa Sur, S.L., y Penrei Inversiones, S.L., […] por estar presentada fuera de plazo”, advirtiendo en pie de recurso, por error, que contra dicha resolución cabía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lo admitió a trámite, dictando auto el 11 de noviembre de 2019 en sentido desestimatorio, con confirmación de la resolución recurrida, en virtud de los motivos expresados en su fundamento de Derecho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ser desestimado el recurso de reposición interpuesto por ser el auto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20 de noviembre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11 de noviembre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continuación del procedimiento de ejecución hipotecaria 361-2018 seguido ante el Juzgado de Primera Instancia e Instrucción número 4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presidenta de la Sala Segunda de este tribunal dictó acuerdo de conexión el 27 de enero de 2020, del siguiente tenor: “Visto que los recursos de amparo 7578-2019 y 7582-2019, turnados a la Sala Segunda de este tribunal, provienen del mismo proceso, dispongo, en atención a esta conexión objetiva, en ejercicio de las facultades que a esta Presidencia atribuye el acuerdo del Pleno, de 23 de octubre de 2013 sobre normas para la designación de magistrados ponentes, que la ponencia del segundo de dichos recursos corresponda al magistrado ponente del recurso 7578-2019”.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4 de noviembre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habiéndose interesado anteriormente la remisión de copia testimoniada de la ejecución hipotecaria 361-2018,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12 de noviembre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fiscal ante este Tribunal Constitucional formalizó su escrito de alegaciones en esta pieza el 16 de noviembre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del Tribunal Constitucional (LOTC) y doctrina general sobre la improcedencia de la suspensión del acto impugnado, excepto en situaciones de daños irreparables y siempre que la suspensión no cause las perturbaciones graves que refiere dicho precepto, con cita del ATC 127/2015, de 27 de julio, FJ 1, señala el escrito que la entidad recurrente solicita la suspensión del procedimiento ejecutivo “sin explicitar ninguna razón que permita afirmar que la continuación del procedimiento judicial incluso con desplazamiento posesorio, provoque un perjuicio determinante de la pérdida de la finalidad del recurso de amparo”; por lo que no ha de accederse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continúa diciendo,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Añade que se trata esta última de una medida que el tribunal puede adoptar ex art. 56.3 LOTC, incluso de oficio, con cita del ATC 2/2019, de 9 de enero, FJ 4, que reproduce. Considera la fiscal que en este caso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seria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361-2018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361-2018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