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1004-2020, promovido por Aluminios Torralba, S.A.,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febrero de 2020, tuvo entrada en el registro general de este Tribunal Constitucional un escrito del procurador don José Ramón Rego Rodríguez, en representación de la entidad Aluminios Torralba, S.A., por el que interpuso recurso de amparo contra el auto de 15 de enero de 2020 del Juzgado de Primera Instancia núm. 14 de Murcia, por el que se desestimó el incidente de nulidad de actuaciones planteado respecto de la ejecución hipotecaria núm. 1646-2013 promovida por Banco de Sabadell, S.A., referida a varios inmuebles propiedad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5 de noviembre de 2013, Banco de Sabadell, S.A., presentó demanda contra Aluminios Torralba, S.A., dictándose auto de 19 de febrero de 2014 del Juzgado de Primera Instancia núm. 14 de Murcia por el que se despachaba ejecución y se requería de pago a la parte demandada. Dicha resolución fue notificada en la calle Jara 31, 3 A de Cartagena, domicilio de la demandada vigente en el registro, siendo devuelta por “desconocida” en dicha dirección.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ejecutante interesó entonces que la citación se practicara en la persona de la representante legal de la recurrente, Rosa Salcedo Hernández, en Murcia, donde tampoco se pudo practicar.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citación se realizó mediante edictos, de conformidad con los arts. 156.4 y 164 de la Ley de enjuiciamiento civil (LEC) expuestos en el tablón de anuncios del juzgado desde el 31 de julio de 2014 hasta el 27 de noviembre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diligencia de ordenación de 29 de mayo de 2015 se indicó lo siguiente: “Visto el estado de las presentes actuaciones se acuerda consultar el punto neutro judicial a fin de averiguar nuevo domicilio de la mercantil ejecutada. Visto el resultado de la consulta y no constando domicilio diferente del que obra en las actuaciones en el que poder practicar la diligencia de notificación de la subasta […] la publicación de edicto en el tablón de anuncios de la oficina judicial y en el portal de subastas judiciales del Ministerio de Justicia servirá de notificación en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sostiene la recurrente, dicha consulta al punto neutro judicial no llegó a realizarse, continuando el procedimiento hasta la subasta y dictándose el decreto de adjudicación en favor del ejecutante en fecha 9 de marzo de 2018, si bien la entrega ha sido suspendida, según le han manifestado los arrendatarios de las fincas.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recurrente tuvo conocimiento del procedimiento hipotecario a través de los citados arrendatarios y, tras solicitar su personación en la causa el 20 de junio de 2018, interpuso un incidente de nulidad de actuaciones el 4 de julio de 2018. El incidente fue desestimado por auto de 15 de enero de 2020, el cual argumenta que el domicilio en el que se intentó la notificación (calle Jara 31, 3 A, de Cartagena) es el que figura en la escritura de constitución del préstamo hipotecario de 14 de marzo de 2006 como domicilio para notificaciones. Y vuelve a figurar, a los mismos efectos, en la escritura de novación modificativa de dicho préstamo, de 30 de diciembre de 2009, por no contener modificación alguna al respecto. No consta que la prestataria comunicara la modificación de domicilio en los términos y con los efectos del art. 683 LEC. También se intentó la notificación en el domicilio de la representante legal de la sociedad (Rosa Salcedo Hernández) que aparece en las escrituras, lo que también resultó infructuoso. Por lo tanto, el auto concluye que no concurre causa alguna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vulneran el derecho de la entidad recurrente a la tutela judicial efectiva sin indefensión (art. 24.1 CE), al no haberse agotado todas las posibles vías de averiguación de su domicilio para notificar de forma personal el auto por el que se despacha ejecución y requiere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recurrente alega que, examinados los autos detalladamente, no consta en ningún momento que se hubiera practicado la consulta al punto neutro judicial acordada en la diligencia de ordenación de 29 de mayo de 2015 ni que Banco de Sabadell, S.A., haya mostrado la necesaria diligencia en instar esa averiguación acordada ni tampoco la necesaria consulta al Registro Mercantil de Murcia, en el que habría comprobado que Rosa Salcedo Hernández no tenía la representación que le imputaba el citado banco, por lo que, conforme a la legislación vigente y jurisprudencia aplicable, no se han agotado todas las posibles vías de averiguación a fin de hacer efectiva la notificación personal. Debido a todo esto, la ejecutada solo ha tenido conocimiento del proceso judicial cuando se solicitó la posesión de los bienes por la ejecutante, a través de los arrendatarios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en que, conforme al art. 155.3 LEC, en las actuaciones de la ejecución hipotecaria no figura que por parte de la ejecutante ni del juzgado se haya procedido a realizar una actuación averiguadora suficientemente diligente respecto del domicilio de la recurrente o de quien pudiera aparecer como “administrador”, “gerente”, “apoderado”, etc.; extremos que no hubieran resultado de gran complicación, habiendo bastado con acudir al registro mercantil de Murcia. Por tanto, no se han agotado las posibles vías de averiguación del domicilio de la recurrente en amparo, y además, la representante legal a la que se intentó citar dejó de tener cargos de representación en la sociedad antes de que se iniciara el proceso, pues el nombramiento por cinco años, de 15 de marzo de 2008, estaba caducado.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cita de las SSTC 150/2008, de 17 de noviembre, FJ 2; 78/2008, de 27 de julio, FJ 2; 122/2013, de 20 de mayo, FJ 5, y 6/2017, de 16 de enero, FJ 2, la demanda aduce que se ha vulnerado una consolidada doctrina que fue expuesta en el incidente de nulidad, sin que el juzgado entrara a valorarla ni siquiera someramente.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anule el auto de 15 de enero de 2020 por el que se desestima el incidente de nulidad de actuaciones y la diligencia que ordena el emplazamiento por edictos y, declarando la nulidad de lo actuado a partir de dicho momento, ordene la retroacción al momento de dictarse el auto de 19 de febrero de 2014 por el que se despachaba ejecución y se requería de pago a Aluminios Torralba,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medio de otrosí, el escrito de demanda solicitó, con base en el art. 56 de la Ley Orgánica del Tribunal Constitucional (LOTC), la suspensión del procedimiento mientras se tramita el recurso de amparo. Al respecto, alega que “los bienes hipotecados ya se encuentran en manos de un tercero, en teoría el banco ejecutante que solicita la posesión, dificultando la efectividad de la tutela que pudiera otorgarse y ello puesto que, en caso contrario, lo mejor que podría garantizarse al demandante es una protección a posteriori, vía indemnización, que resultaría incompleta e insuficiente”.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señala que la suspensión solicitada no supone la perturbación grave de los intereses generales ni afecta a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4 de noviembre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núm. 14 de Murcia, a fin de que, en plazo que no exceda de diez días, remita certificación o fotocopia adverada de las actuaciones correspondientes al procedimiento de ejecución hipotecaria número 1646-2013;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Fórmese la oportuna pieza para la sustanciación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4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16 de noviembre de 2020, interesando que se acceda a lo solicitado en cuanto a la suspensión del procedimiento de ejecución hipotecaria, ratificándose en los argumentos esgrimidos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informa que por diligencia de 9 de noviembre de 2020 ha tenido conocimiento de la personación de la mercantil Promontoria Coliseum Industrial Assets, como actual propietaria de los inmuebles adjudicados. A juicio de la demandante, esto aumenta la necesidad de tutela cautelar puesto que, en caso contrario, lo mejor que podría garantizarse al demandante es la protección a posteriori, vía indemnización, que resultaría incompleta e insuficiente. Insiste en que ve peligrar gravemente la efectividad de la sentencia que pudiera recaer en el presente procedimiento, a menos que se adopte con carácter de urgencia la medida aseguradora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manifestaba en la demanda, aduce que no es previsible que la ejecutante padezca perjuicio alguno, puesto que ya cuenta con el decreto de adjudicación de las fincas expedido por el juzgado, lo que constituye caución más que suficiente para responder de los posibles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23 de noviembre de 2020, interesando que se adopte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citar el art. 56.2 LOTC y reproducir lo declarado en el ATC 127/2015, de 20 de julio, FJ 1, en relación con la necesidad de acreditar por el interesado la existencia de un perjuicio irreparable, para poder acordarse la suspensión de los actos impugnados en amparo, el fiscal sostiene que en el presente caso, la recurrente solicita la suspensión “sin explicitar ninguna razón que permita afirmar que la continuación del procedimiento judicial, incluso con desplazamiento posesorio, provoque un perjuicio determinante de la pérdida de la finalidad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“para conseguir el efecto protector deseado por la recurrente y enervar los indeseados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quede especialmente protegido por su buena fe en la adquisición”. Cita en apoyo de esto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es determinar la procedencia o no de la medida cautelar instada por la parte recurrente en amparo en el procedimiento de ejecución hipotecaria núm. 1646-2013 seguido en el Juzgado de Primera Instancia núm. 14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pone de manifiesto que, de no acordarse la suspensión, peligraría gravemente la efectividad de la sentencia que pudiera recaer en el recurso de amparo, lo cual considera especialmente grave atendiendo a que ya se ha dictado decreto de adjudicación. Afirma, no obstante, que, llegado el día de la entrega al adjudicatario, la misma ha sido suspendida, según le manifiestan los arrendatarios de los inmuebles. Por otro lado, en las alegaciones en la pieza de suspensión, añade que ha tenido conocimiento de que en el procedimiento de ejecución ha comparecido una nueva entidad en calidad de actual titular de los inmuebles adjudicados.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tales circunstancias, este tribunal entiende, tal y como interesa el fiscal, que lo procedente es acordar la anotación preventiva de la demanda de amparo en el registro de la propiedad. Esta misma ha sido la solución acogida recientemente, entre otros, en los AATC 106/2017, de 17 de julio, FJ 3; 88/2018, de 17 de septiembre, FJ 5; 2/2019, de 9 de enero, FJ 4, y 123/2020, de 19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1646-2013 seguido en el Juzgado de Primera Instancia núm. 14 de Murcia.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los inmuebles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