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188</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14 de diciembre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7513-2019, promovido por Euroinversiones Inmobiliarias Costa Sur, S.L., representada por la procuradora de los tribunales doña Blanca Berriatua Horta y bajo la dirección del letrado don Marcelino Gilabert García, contra los autos de 14 de noviembre de 2018 y de 30 de octubre de 2019, dictados por el Juzgado de Primera Instancia e Instrucción núm. 4 de Lorca, en el procedimiento de ejecución hipotecaria núm. 358-2018 por el que se inadmite por extemporánea la oposición a la ejecución hipotecaria y se confirma esta última decisión al desestimarse el recurso de reposición interpuesto frente a ella. Ha intervenido el Ministerio Fiscal. Ha sido parte la entidad Pera Assets Designated Activity Company, actuando como sucesora procesal del banco ejecutante. Ha sido ponente el magistrado don Santiago Martínez-Vares García.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26 de diciembre de 2019, la entidad Euroinversiones Inmobiliarias Costa Sur, S.L., representada por la procuradora de los tribunales doña Blanca Berriatua Horta y bajo la dirección del letrado don Marcelino Gilabert García, interpuso recurso de amparo contra las resoluciones referidas en el encabezamiento. La presentación de dicho escrito dio lugar al recurso de amparo núm. 7513-2019, cuyo conocimiento correspondió a la Sección Segunda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Juzgado de Primera Instancia e Instrucción núm. 4 de Lorca se sigue procedimiento de ejecución hipotecaria núm. 358-2018, promovido por la entidad Banco de Sabadell, S.A., frente a la sociedad Euroinversiones Inmobiliarias Costa Sur, S.L., en calidad de prestataria e hipotecante de la finca registral 43.278 del registro de la propiedad núm. 3 de Lorca.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auto de 18 de junio de 2018 se acordó despachar ejecución frente a la sociedad demandada por la cantidad de 8199,51 € de principal y 2459,73 € como intereses y costas presupuestados. El servicio de notificaciones de la Fábrica Nacional de Moneda y Timbre remitió a la demandante de amparo, a través de la dirección electrónica habilitada, un aviso de notificación del citado auto que le fue comunicado por dicho medio el 20 de junio de 2018. En dicha comunicación se informa que la notificación estará disponible hasta el 31 de agosto del mismo año, accediendo la recurrente de amparo efectivamente a la página web y a la notificación dentro del plazo en que la misma se encontraba disponible.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representación legal de Euroinversiones Inmobiliarias Costa Sur, S.L., presentó escrito de oposición a la ejecución despachada, con fecha 27 de agosto de 2018. Por auto de 14 de noviembre de 2018 se acordó su inadmisión por considerar la pretensión extemporánea, tomando como fecha de notificación el 20 de junio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sociedad mercantil recurrente interpuso recurso de reposición contra el auto de inadmisión alegando, en síntesis, que las actuaciones de notificación y requerimiento no habían sido realizadas el día 20 de junio de 2018, sino el 27 de julio, la fecha en que accedió a la web y procedió a su descarga, y que la comunicación remitida a través de la dirección electrónica habilitada no puede entenderse más que un aviso de puesta a disposición o descarga de su contenido durante un plazo determinado (en el caso desde el 20 de junio hasta el 5 de agosto de 2018), pues entenderlo de otro modo, además de infringir los arts. 135, 152, 160 y162 de la Ley de enjuiciamiento civil (LEC), vulnera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Tras su tramitación, el recurso de reposición fue desestimado por auto de 30 de octubre de 2019. Según esta resolución, la recurrente tiene la condición de persona jurídica y, por tanto, está obligada a relacionarse con la administración de justicia por medios electrónicos. “Así, pese a las alegaciones del recurrente que pretende mantener que el escrito de oposición fue presentado en plazo para ello por entender que el auto despachando la ejecución y el requerimiento efectuado debe entenderse notificado en fecha 27 de julio de 2018, en la que se accedió efectivamente a las citadas resoluciones, lo cierto es que debe tenerse en cuenta la fecha en la que efectivamente tuvo la parte posibilidad de acceder a las mismas, de lo contrario se estaría dejando al arbitrio de las partes obligadas a utilizar el sistema electrónico de comunicaciones el cumplimiento de los plazos procesales dispuesto en la normativa”(sic).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demandante de amparo se queja en su recurso de la vulneración de su derecho a la tutela judicial efectiva sin indefensión (art. 24.1 CE) en su vertiente de acceso al proceso. Considera que con la interpretación ofrecida en el auto objeto de impugnación, el juzgado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solo dirigido al legislador, sino también al intérprete, obligándole a promover la defensa mediante la correspondiente contradicción, tal y como reconoce la sentencia 37/1984 del Tribunal Constitucional”. Justifica la especial trascendencia constitucional aludiendo a la novedosa implantación de procesos de notificación por medios electrónicos en el ámbito de la jurisdicción civil en relación con las exigencias procesales derivadas de la regulación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solicita por medio de segundo otrosí la suspensión de la continuación del procedimiento de ejecución hipotecaria alegando que “con la celebración de subasta y la eventual adjudicación a terceros, pueden hacer perder al recurso de amparo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15 de junio de 2020 la Sección Segunda de este tribunal acordó no admitir a trámite el recurso de amparo por no apreciar en el mismo la especial trascendencia constitucional que, como condición para su admisión, requiere el art. 50.1 b) de la Ley Orgánica del Tribunal Constitucional (STC 155/2009, de 25 de junio, FJ 2). Dicha providencia se dejó sin efecto en virtud del auto de 18 de septiembre de 2020 que estimó el recurso de súplica interpuesto contra la misma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21 de septiembre de 2020 la Sección Segunda de este tribunal acordó admitir a trámite el recurso de amparo apreciando que concurre en el mismo una especial trascendencia constitucional [art. 50.1 de la Ley Orgánica del Tribunal Constitucional (LOTC)] “toda vez que el recurso puede dar ocasión al tribunal para aclarar o cambiar su doctrina, como consecuencia de cambios normativos relevantes para la configuración del contenido del derecho fundamental [STC 155/2009, FJ 2 b)]”. De conformidad con lo dispuesto en el art. 51 de nuestra Ley Orgánica reguladora (LOTC), se acordó dirigir comunicación al Juzgado de Primera Instancia e Instrucción núm. 4 de Lorca, a fin de que, en el plazo de diez días, remitiera certificación o fotocopia adverada de las actuaciones correspondientes a los autos de ejecución hipotecaria núm. 358-2018 y emplazara a quienes hubieran sido parte en el proceso del que trae causa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en el registro de este tribunal el 23 de octubre de 2020, la procuradora de los tribunales doña María Claudia Munteanu, actuando en nombre y representación de la entidad Pera Assets Designated Activity Company, manifestó ser cesionaria a título oneroso de determinados créditos hipotecarios de los que era titular Banco de Sabadell, S.A. (entre ellos el que grava la finca hipotecada que es objeto del proceso judicial previo), así como haber sido emplazada por el Juzgado de Primera Instancia e Instrucción núm. 4 de Lorca para comparecer ante este tribunal, por lo que solicitó que se le tuviera por personada como parte recurrida, entendiéndose con dicha procuradora las actuaciones sucesivas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través de diligencia de ordenación de 26 de octubre de 2020, el secretario de justicia de la Sala Primera de este tribunal tuvo por personada y parte a la procuradora doña María Claudia Munteanu en la representación acreditada y, asimismo, acordó dar vista de las actuaciones a las partes personadas y al Ministerio Fiscal, por plazo común de veinte días, a fin de que, conforme con lo previsto en el art. 52 LOTC,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fiscal ante este Tribunal Constitucional, mediante escrito registrado el 13 de noviembre de 2020, presentó sus alegaciones interesando la estimación del recurso de amparo. Tras exponer la jurisprudencia del Tribunal Constitucional sobre los actos de comunicación procesal, con expresa referencia a las SSTC 40/2020, de 27 de febrero, y 43/2020, de 9 de marzo, solicita que se declare vulnerado el derecho a la tutela judicial efectiva sin indefensión de la demandante y la nulidad de todo lo actuado desde la notificación electrónica del auto que despachó la ejecución solicitada, con retroacción de las actuaciones al momento inmediatamente anterior a dicha notificación “para que se le dé al recurrente posibilidad de formular oposición a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entidad demandante de amparo presentó sus alegaciones el 26 de noviembre de 2020, remitiéndose a lo expuesto en su recurso y haciendo mención adicional a los pronunciamientos de la STC 40/2020, de 27 de febrero, a propósito del uso indebido de la dirección electrónica habilitada para realizar el primer emplazamiento del demandado.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1 de diciembre de 2020, el secretario de justicia puso de manifiesto que no constando alegaciones de la procuradora doña María Claudia Munteanu, quedaba el recurso de amparo pendiente para deliberación cuando por turno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fecha diez de diciembre de 2020, se señaló para deliberación y votación de la presente sentencia el día catorce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El presente recurso de amparo tiene por objeto la impugnación de los autos de 14 de noviembre de 2018 y de 30 de octubre de 2019, dictados por el Juzgado de Primera Instancia e Instrucción núm. 4 de Lorca, en el procedimiento de ejecución hipotecaria núm. 358-2018. Según la entidad mercantil demandante de amparo, una interpretación irrazonable de la legislación procesal le habría privado injustamente de su derecho a formular oposición a la ejecución hipotecaria. Tratándose de un primer emplazamiento, el requerimiento de pago y alternativo derecho a oponerse a la demanda ejecutiva debió realizarse de manera personal en su domicilio social con entrega en papel de la documentación, y no mediante el servicio de notificaciones electrónicas y de dirección electrónica habilitada de la Fábrica Nacional de Moneda y Timbre. El órgano judicial habría incumplido su obligación de asegurar, no ya la legalidad formal de los actos de comunicación, sino el cumplimiento efectivo de su finalidad constitucional. Todo ello constituiría una vulneración del derecho fundamental de la demandante de amparo a la tutela judicial efectiva sin indefensión (art. 24 CE). Solicita, en consecuencia, la anulación de las resoluciones indicadas, así como la retroacción al momento procesal oportuno, previo al dictado del auto de 14 de noviembre de 2018, a fin de que el juzgado admita a trámite su oposición al despacho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solicitó la estimación de la demanda de amparo y la nulidad de todo lo actuado desde la notificación electrónica del auto de despacho de la ejecución con retroacción de las actuaciones al momento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reciente STC 40/2020, de 27 de febrero, del Pleno del Tribunal, estimó un recurso de amparo basado en los mismos motivos, interpuesto por la misma entidad mercantil y dirigido contra autos de contenido muy similar de otro juzgado de Lorca. Corresponde, en consecuencia, dar por reproducidos los fundamentos jurídicos de aquella sentencia y declarar por ello que los autos de 14 de noviembre de 2018 y de 30 de octubre de 2019 del Juzgado de Primera Instancia e Instrucción núm. 4 de Lorca han vulnerado el derecho a la tutela judicial efectiva de la recurrente en amparo (art. 24.1 CE). Como en aquel caso, la estimación del amparo trae consigo la nulidad de los autos recurridos, así como de todo lo actuado en el procedimiento hipotecario a quo desde el momento en que se proveyó al emplazamiento de la entidad mercantil solicitante de amparo a través de la dirección electrónica habilitada.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mercantil Euroinversiones Inmobiliarias Costa Sur, S.L.,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recurrente en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en consecuencia, declarar la nulidad de los autos de 14 de noviembre de 2018 y de 30 de octubre de 2019 dictados por el Juzgado de Primera Instancia e Instrucción núm. 4 de Lorca en el proceso de ejecución hipotecaria núm. 358-2018, así como la nulidad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debiendo llevarse a cabo de nuevo este último por el referido juzgado de forma que resulte respetuoso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diciembre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