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162</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14 de diciembre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7583-2019, promovido por Penrei Inversiones, S.L.,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entidad mercantil Penrei Inversiones, S.L., representada por la procuradora de los tribunales doña Blanca Berriatua Horta, con asistencia letrada de doña Anju Nirmala Rodríguez Benavent, solicita la suspensión del proceso de ejecución hipotecaria núm. 362-2018 tramitado por el Juzgado de Primera Instancia e Instrucción núm. 4 de Lorca. Lo hace por otrosí en el escrito de 29 de diciembre de 2019 por el que interpone recurso de amparo contra los autos de 20 de noviembre de 2018 y 11 de septiembre de 2019 recaídos en aquel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resolver sobre la medida cautelar solicitada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4 de Lorca se sigue procedimiento de ejecución hipotecaria núm. 362-2018 promovido por la entidad Banco de Sabadell, S.A. frente a la sociedad Penrei Inversiones, S.L., en calidad de titular de un derecho de uso respecto del inmueble afectado.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Despachada ejecución por auto de 26 de junio de 2018, el Servicio de Notificaciones de la Fábrica Nacional de Moneda y Timbre remite a la demandante de amparo, a través de la dirección electrónica habilitada un aviso. Informa de que la notificación estará disponible desde el 3 de julio hasta el 18 de agosto. El 3 de agosto la recurrente de amparo accede efectivamente a la página web y a la notificación.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31 de agosto de 2018, la sociedad demandada formula oposición a la ejecución despachada. Por auto de 20 de noviembre del mismo año fue inadmitida por extemporánea.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ejecutada interpone recurso de reposición. Alega que las diligencias de notificación y requerimiento se realizaron el 3 de agosto de 2018. La comunicación remitida a través de la dirección electrónica habilitada no sería más que un aviso de puesta a disposición o descarga de su contenido durante un plazo determinado. Entenderlo de otro modo vulneraría el art. 24 CE, además de los arts. 135, 152, 160, 162 de la Ley 1/2000, de 7 de enero, de enjuiciamiento civil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recurso fue desestimado por auto de 11 de septiembre de 2019. El órgano judicial reafirma que la notificación se practicó el 29 de junio de 2018, fecha en la que se materializó correctamente su puesta a disposición en aplicación estricta del art. 162 LEC. A efectos de computar el plazo para formular oposición a la ejecución hipotecaria no puede tomarse en consideración la fecha en que el acceso se realizó efectivamente; de lo contrario se estaría dejando al arbitrio de las partes obligadas a utilizar el sistema electrónico de notificaciones el cumplimiento de los términos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atribuye a los autos impugnados la vulneración del derecho fundamental de la sociedad recurrente a la tutela judicial efectiva y a un proceso con garantías y sin indefensión (art. 24, apartados 1 y 2 CE). La interpretación de la legislación procesal habría privado injustamente a la recurrente de su derecho a formular oposición a la ejecución hipotecaria, porque —tratándose de un primer emplazamiento— debió realizarse del modo tradicional (art. 273 LEC). El órgano judicial habría incumplido su obligación de asegurar, no ya la legalidad formal de los actos de comunicación, sino el cumplimiento efectivo de su finalidad constitucional. La demanda solicita por otrosí la suspensión del proceso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29 de junio de 2020, la Sección Segunda de este tribunal acuerda inadmitir a trámite el recurso de amparo por carecer de especial trascendencia constitucional. Recurrida en súplica por el Ministerio Fiscal, la sección, mediante ATC 118/2020, de 9 de octubre, la declara nula y acuerda admitir a trámite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ordenación de 21 de octubre de 2020, el secretario de justicia acuerda formar la oportuna pieza para la tramitación del incidente de suspensión y, conforme a lo dispuesto en el art. 56 de la Ley Orgánica del Tribunoal Constitucional (LOTC), concede un plazo común de tres días a la parte recurrente y al Ministerio Fiscal para que aleguen lo que estimen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23 de octubre de 2020, la demandante de amparo insiste en que la ejecución se ha despachado con vulneración de su derecho a la tutela judicial efectiva. Añade que la doctrina constitucional ha accedido a suspender ejecuciones hipotecarias en otros casos y que no hacerlo en el presente conduciría a situaciones irreversibles con inevitables perjuicios.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el 5 de noviembre siguiente, el Ministerio Fiscal interesa que se acuerde la anotación preventiva de la demanda en el registro de la propiedad, pese a no haber sido solicitada. Tras exponer la doctrina constitucional sobre suspensión de resoluciones impugnadas, considera que, de no adoptarse la anotación preventiva de la demanda, la tutela que el tribunal pudiera otorgar corre el riesgo de ser incompleta; dejaría abierta la posibilidad de que la finca sea transmitida a un tercero de buena fe mientras se sustancia y resuelve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resolver sobre la procedencia de la medida cautelar instada por la parte recurrente en amparo y dirigida frente al procedimiento de ejecución hipotecaria núm. 362-2018 seguido en el Juzgado de Primera Instancia e Instrucción núm. 4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La suspensión no podrá pues ocasionar perturbación grave alguna sobre un interés constitucionalmente protegido o los derechos fundamentales o libertades de otra persona. Por esta razón se configura como una medida de carácter excepcional y de aplicación restrictiva (por todos, AATC 117/2015, de 6 de julio, FJ 1, y 59/2017, de 24 de abril, FJ 1).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Debe mostrar que la ejecución del acto recurrido puede privar a la demanda de amparo de su finalidad, provocando que el restablecimiento del recurrente en el derecho constitucional vulnerado sea tardío y convirtiendo en meramente ilusorio y nominal el amparo impetrado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de 10 de febrero, FJ 2 ,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expuesta al caso aquí planteado permite concluir, de acuerdo con el Ministerio Fiscal, que resulta improcedente la suspensión solicitada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entiende, por el contrario, que las circunstancias que presenta el supuesto sometido a consideración llevan a estimar la procedencia de acordar, de modo alternativo, la medida cautelar de anotación preventiva de la demanda de amparo en el registro de la propiedad en cuanto la reputa medida idónea para evitar el perjuicio derivado de que la adquisición del bien por tercero lo haga irreivindicable. Esta ha sido la solución acogida recientemente, para otros casos, en los AATC 75/2019 y 76/2019, ambos de 15 de julio,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362-2018 seguido en el Juzgado de Primera Instancia e Instrucción núm. 4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