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693-2020,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febrero de 2020,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4 de Lorca en el procedimiento de ejecución hipotecaria núm. 359-2018 en fechas 14 de noviembre y 12 de diciembre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359-2018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25 de junio de 2018 se notificó y requirió a través de la sede judicial electrónica a ambas ejecutadas, y en fecha 1 de agosto de 2019 se presentó por Penrei Inversiones, S.L., oposición a la ejecución hipotecaria. Por auto de 14 de noviembre de 2018 se acordó su inadmisión por presentación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sociedad mercantil recurrente interpuso recurso de reposición contra el auto de inadmisión que fue desestimado por auto de 12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común de las administraciones públicas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octubre de 2020 la Sección Primera de este tribunal acordó admitir a trámite el recurso de amparo y dirigir comunicación al Juzgado de Primera Instancia e Instrucción núm. 4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26 de octubre de 2020, la parte demandante formuló sus alegaciones, reiterando lo dicho en el otrosí de su demanda y trascribiendo parte del ATC 21/2018,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4 de noviembre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18 de noviembre de 2018 presentó sus alegaciones doña María Claudia Munteanu, procuradora de los tribunales, en nombre y representación de Pera Assets Designated Activity Company (cesionaria a título oneroso de determinados créditos hipotecarios de los que era titular Banco de Sabadell, S.A., entre ellos el que grava la finca hipotecada que es objeto del proceso judicial previo). Tras reproducir distintos autos del Tribunal Constitucional en materia de suspensión, señala que no procede la suspensión solicitada ante la vaguedad de la petición formulada, la mala fe procesal mostrada por la recurrente en todos y cada uno de los recursos de amparo presentados ante el Tribunal Constitucional y el no ofrecimiento de un principio razonable de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359-2018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359-2018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