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25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7502-2019,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diciembre de 2019, tuvo entrada en el registro general de este Tribunal Constitucional un escrito de la procuradora doña Blanca Berriatua Horta, en representación de la entidad Penrei Inversiones, S.L., por el que interpuso recurso de amparo contra el auto de 19 de noviembre de 2018, del Juzgado de Primera Instancia e Instrucción núm. 4 de Lorca, que inadmitió el escrito de oposición a la ejecución hipotecaria promovida por Banco de Sabadell, S.A.; y contra el auto del mismo juzgado, 30 de octubre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19 de noviembre de 2018, el Juzgado de Primera Instancia e Instrucción ya indicado dictó un auto en el procedimiento de ejecución hipotecaria núm. 363-2018 por el que acordó: “Inadmitir a trámite la oposición formulada por la parte ejecutada Euroinversiones Inmobiliarias Costa Sur, S.L., y Penrei Inversiones, S.L., (…) por estar presentada fuera de plazo”, advirtiendo en pie de recurso que contra dicha resolución cabía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(no de apelación) por la entidad aquí demandante de amparo, como consta en el expediente del Juzgado a quo, este último dictó auto el 30 de octubre de 2019 desestimándolo (aunque con mención únicamente a la entidad Euroinversiones Inmobiliarias Costa Sur, S.L.), con confirmación de la resolución recurrida, en virtud de los motivos expresados en su fundamento de derecho único, teniendo así por válido el emplazamiento efectuado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la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“Contra este auto no cabe recurso alguno, sin perjuicio de reproducir la cuestión objeto de la reposición al recurrir, si fuera posible, la resolución definitiva (artículo 454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aquella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Ley de enjuiciamiento civil.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19 de noviembre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FFJJ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30 de octubre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aquellas,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 Instancia e Instrucción número cuatro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15 de enero de 2020 solicitando al juzgado a quo la remisión de certificación o fotocopia adverada de las actuaciones correspondientes del procedimiento de ejecución hipotecaria núm. 363-2018.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30 de noviembre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atenta comunicación a Juzgado de Primera Instancia e Instrucción núm. 4 de Lorca a fin de que, y toda vez que ya constan recibidas las actuaciones de instancia, se emplace a quienes hubieren sido parte en el procedimiento, excepto la parte recurrente en amparo para que en el plazo de diez días puedan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30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11 de diciembre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58/2018 de 4 de junio, y 117/2018 de 29 de octubre;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la fiscal ante este Tribunal Constitucional formalizó su escrito de alegaciones en esta pieza el 15 de diciembre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del ATC 127/2015, de 20 de julio, FJ 1, considera la fiscal que la entidad recurrente funda su solicitud de suspensión en la pérdida de finalidad del recurso, “sin explicitar ninguna razón que permita afirmar que la continuación del procedimiento judicial incluso con desplazamiento posesorio, provoque un perjuicio determinante de la pérdida de la finalidad del recurso de amparo”. De manera distinta, sostiene que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tiene dudas de que este tribunal puede acordar dicha medida, ex art. 56.3 LOTC, conforme tiene establecido nuestra doctrina, con cita del ATC 2/2019, de 9 de enero, FJ 4. Entiende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que imposible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363-2018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Penrei Inversiones,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363-2018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