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25 de enero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en el recurso de amparo núm. 7512-2019,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diciembre de 2019, tuvo entrada en el registro general de este Tribunal Constitucional un escrito de la procuradora doña Blanca Berriatua Horta, en representación de la entidad Euroinversiones Inmobiliarias Costa Sur, S.L., por el que interpuso recurso de amparo contra el auto de 19 de noviembre de 2018, del Juzgado de Primera Instancia e Instrucción núm. 4 de Lorca, que inadmitió el escrito de oposición a la ejecución hipotecaria promovida por Banco de Sabadell, S.A.; y contra el auto del mismo Juzgado, 30 de octubre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19 de noviembre de 2018, el Juzgado de Primera Instancia e Instrucción ya indicado dictó un auto en el procedimiento de ejecución hipotecaria núm. 363-2018 por el que acordó: “Inadmitir a trámite la oposición formulada por la parte ejecutada Euroinversiones Inmobiliarias Costa Sur, S.L.., y Penrei Inversiones, S.L., (…) por estar presentada fuera de plazo”, advirtiendo en pie de recurso que contra dicha resolución cabía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(no de apelación) por la entidad aquí demandante de amparo, el juzgado a quo dictó auto el 30 de octubre de 2019 desestimándolo, con confirmación de la resolución recurrida, en virtud de los motivos expresados en su fundamento de derecho único, teniendo así por válido el emplazamiento efectuado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propio documento núm. 1 aportado con el escrito interponiendo recurso de reposición y de las propias alegaciones vertidas por la recurrente, resulta la correcta recepción de la notificación en fecha 03/07/2018,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la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precluido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“Contra este auto no cabe recurso alguno, sin perjuicio de reproducir la cuestión objeto de la reposición al recurrir, si fuera posible, la resolución definitiva (artículo 454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de la Ley de enjuiciamiento civil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19 de noviembre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de la Ley de enjuiciamiento civil”, sin que a ello obste la argumentación dada por el auto que inadmite la oposición; pasando a reproducir pasajes de los FFJJ 2 a 5 de dicha STC 47/2019.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30 de octubre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363-2018 seguido ante el Juzgado de Primer Instancia e Instrucción número 4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19 de enero de 2020 haciendo constar una nota de la secretaría general comunicando la aparente conexión del presente recurso, con el núm. 7502-2019, de esta misma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27 de enero de 2020, la presidenta de la Sala Segunda de este tribunal dictó acuerdo de conexión entre los dos recursos de amparo citados, disponiendo “que la ponencia del segundo de dichos recursos corresponda al magistrado ponente del recurso 7502-2019”.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ante este tribunal el 6 de octubre de 2020, la procuradora de los tribunales doña María Claudia Munteanu, actuando en representación de la entidad Pera Assets Designated Activity Company, alegó haber recibido diligencia de ordenación del juzgado a quo de 1 de septiembre de 2020, para su emplazamiento en este proceso de amparo 7512-2019, razón por la cual se persona en nombre de su representada, solicitando se la tenga por parte y se entiendan con dicha profesional las diligencias sucesivas.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la secretaría de justicia de la Sección Cuarta de este tribunal dictó diligencia de ordenación el 7 de octubre de 2020 por la que, en relación con el escrito de la procuradora por la que “trata de personarse en el recurso”, se acuerda “no admitir dicha personación, toda vez que de conformidad con la Ley Orgánica del Tribunal Constitucional solo una vez admitida la demanda de amparo, podrá tener lugar el emplazamiento, a través del órgano judicial correspondiente, de quienes fueron parte en el procedimiento antecede (artículo 51.2 LOTC). No es posible, por tanto, personación o intervención alguna de otras partes interesadas distintas del demandante, en la fase preliminar de 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de este tribunal dictó providencia el 30 de noviembre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Diríjase atenta comunicación a Juzgado de Primera Instancia e Instrucción núm. 4 de Lorca a fin de que, y toda vez que ya constan recibidas las actuaciones de instancia, se emplace a quienes hubieren sido parte en el procedimiento, excepto la parte recurrente en amparo para que en el plazo de diez días puedan comparecer, si lo desean,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nueva providencia dictada por la Sección Cuarta de este tribunal en la misma fecha de la admisión del recurso, el 30 de noviembre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 la entidad recurrente presentó su escrito de alegaciones con fecha 11 de diciembre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58/2018, de 4 de junio, y 117/2018 de 29 de octubre;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su parte, la fiscal ante este Tribunal Constitucional formalizó su escrito de alegaciones en esta pieza el 15 de diciembre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LOTC y del ATC 127/2015, de 20 de julio, FJ 1, considera la fiscal que la entidad recurrente funda su solicitud de suspensión en la pérdida de finalidad del recurso, “sin explicitar ninguna razón que permita afirmar que la continuación del procedimiento judicial incluso con desplazamiento posesorio, provoque un perjuicio determinante de la pérdida de la finalidad del recurso de amparo”. De manera distinta, sostiene que “para conseguir el efecto protector deseado por la recurrente y enervar los indeseables efectos de la paralización del procedimiento que por su propia naturaleza goza de las características de celeridad y sumariedad,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no tiene dudas de que este tribunal puede acordar dicha medida, ex art. 56.3 LOTC, conforme tiene establecido nuestra doctrina, con cita del ATC 2/2019, de 9 de enero, FJ 4. Entiende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proceso de amparo, por lo que se interesa la anotación preventiva de la demanda en el registro de la propiedad evitando así, situaciones cuya reversibilidad sería que imposible [sic]”.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363-2018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Euroinversiones Inmobiliarias Costa Sur,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363-2018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