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6087-2019, promovido por Euroinversiones Inmobiliarias Costa Sur, S.L., contra el auto del Juzgado de Primera Instancia e Instrucción núm. 5 de Lorca, de fecha 21 de septiembre de 2018, que inadmitió la demanda de oposición a la ejecución formulada por dicha mercantil, en el procedimiento de ejecución hipotecaria núm. 295-2018; y contra el auto del mismo juzgado, de fecha 10 de septiembre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 mercantil Euroinversiones Inmobiliarias Costa Sur, S.L., relativa a la finca inscrita con el núm. 43200 en el registro de la propiedad núm. 3 de Lorca. El Juzgado de Primera Instancia e Instrucción núm. 5 de Lorca, al que correspondió el conocimiento de la causa, dictó auto, el día 18 de mayo de 2018, por el que acordó el despacho de ejecución en el procedimiento de ejecución hipotecaria núm. 295-2018;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31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5 de Lorca, relativa al proceso: EJH/0000295/2018; notificación a la que podía acceder entre los días 31 de mayo a 16 de julio de 2018, a través de unos enlaces electrónicos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anterior al del vencimiento del plazo indicado en la anterior comunicación, por el mismo servicio de notificaciones electrónicas de la Fábrica Nacional de Moneda y Timbre, se vuelve a remitir otros dos correos electrónicos, en los que se avisa que tiene notificaciones y/o comunicaciones sin recoger en la dirección habilitada única de la que es titular, recordándole que el plazo de caducidad es el día 16 de julio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16 de julio de 2018, por personal de la recurrente se accedió al enlace remitido por la dirección electrónica habilitada y, con ello, a la notificación enviada por el juzgado de primera instancia ejecutante, en relación con el procedimiento hipotecario núm. 295-2018.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30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5 de Lorca dictó auto, en fecha 21 de septiembre de 2018, en cuya virtud inadmitió la oposición planteada. En dicha resolución se expone que “[e]n fecha 31de mayo de 2018 se notificó y requirió en legal forma a través de la sede judicial electrónica a la ejecutada y en fecha 31/7/18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la demandante de amparo se interpuso recurso de reposición contra el anterior auto, en el que defendió que la notificación y requerimiento de pago tuvo lugar cuando accedió al contenido de la notificación electrónica remitida y no antes, siendo desde entonces que cabía computar el plazo de diez días del art. 556 LEC. Con invocación también de los arts. 135, 152,158, 158, 160, 162 LEC y la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10 de septiembre de 2019, el recurso de reposición interpuesto fue desestimado,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los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31/5/2018 no accediendo al contenido hasta el día 16/7/2018 (fuera de los tres días que establece la normativa procesal), presentando los escritos de oposición a la ejecución en fecha 31/7/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obligada a relacionarse con la administración de justicia a través de medios electrónicos, según dispone el art. 273 LEC, sin embargo,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dispone que “cuando las partes no actúen representadas por procurador o se trate del primer emplazamiento o citación al demandado, los actos de comunicación se harán por remisión al domicilio de los litigantes”. Corrobora la expuesto, según indica, la reciente STC 47/2019, de 8 de abril, parte de cuya fundamentación jurídica transcribe y de cuyo contenido deduce “que en modo alguno debe entenderse que, tratándose del emplazamiento, este no se efectúe en el domicilio como impone el artículo 155.1 de la Ley de enjuiciamiento civil, y que todas las normas que se hace mención en el auto recurrido y en los escritos de impugnación del recurso, para nada cuestionan el carácter imperativo de esa obligación, cuando de aquel acto se trata, máxime cuando se constata que el medio telemático no dio resultado como primera llamada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auto de 10 de septiembre del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previsto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febrero de 2020,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recibido con anterioridad copia autenticada del procedimiento de ejecución hipotecaria núm. 295-2018, solamente se resolvió, con arreglo a lo dispuesto en el art. 51 de la Ley Orgánica del Tribunal Constitucional (LOTC), dirigir atenta comunicación al Juzgado de Primera Instancia e Instrucción núm. 5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día 17 de abril del 2020,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11 de noviembre de 2020, la secretaría de la Sección Tercera de este tribunal acordó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30 de noviembre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fiscal pone de relieve que algunos de esos recursos ya han sido resueltos por el Tribunal Constitucional, en concreto por las SSTC 40/2020, de 27 de febrero, dictada por el Pleno, y la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por lo que interesa su estimación, por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11 de diciembre de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40/2020, de 27 de febrero, que resuelve el recurso de amparo núm. 5377-2018, promovido por Euroinversiones Inmobiliarias Costa Sur, S.L., en un asunto prácticamente igual al del presente recurso de amparo, en el que el citado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la Sección Tercera de este Tribunal, de fecha 16 de diciembre de 2020, se acordó dar vista por veinte días a la entidad Pera Assets Designated Activity Company,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entidad Pera Assets Designated Activity Company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11 de febrero fecha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e Instrucción núm. 5 de Lorca, de fechas 21 de septiembre de 2018 y 10 de septiembre de 2019, recaídos en el proceso de ejecución hipotecaria núm. 295-2018.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21 de septiembre de 2018 y 10 de septiembre de 2019, dictados por el Juzgado de Primera Instancia e Instrucción núm. 5 de Lorca en el proceso de ejecución hipotecaria núm. 295-2018,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