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45</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3 de marzo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2537-2019, promovido por Penrei Inversiones, S.L., contra el auto del Juzgado de Primera Instancia e Instrucción núm. 5 de Lorca de 27 de febrero de 2019, por el que se desestima el recurso de reposición interpuesto contra el auto de 21 de septiembre de 2018, por el que se inadmite el escrito de oposición a la ejecución hipotecaria en el procedimiento de ejecución hipotecaria núm. 362-2018. Ha comparecido la entidad Pera Assets Designated Activity Company.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entidad Penrei Inversiones, S.L., representada por la procuradora de los tribunales doña Blanca Berriatua Horta y bajo la asistencia de la letrada doña Anju Nirmala Benavent Rodríguez, interpuso recurso de amparo contra las resoluciones judiciales que se mencionan en el encabezamiento de esta sentencia mediante escrito registrado en este tribunal el 22 de abril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promovió un procedimiento de ejecución hipotecaria frente a las sociedades Euroinversiones Inmobiliarias Costa Sur, S.L., en calidad de prestataria e hipotecante, y Penrei Inversiones, S.L., en calidad de titular registral de un derecho de uso y disfrute sobre el inmueble hipotecado, que fue tramitado por el Juzgado de Primera Instancia e Instrucción núm. 5 de Lorca con el número 362-2018.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acordó despachar ejecución mediante auto de 8 de junio de 2018 frente a las sociedades demandadas. El citado auto y el decreto de la misma fecha que le sigue, acordando las medidas de ejecución y el requerimiento de pago al ejecutado, fueron comunicados a las citadas entidades a través de la sede judicial electrónica el día 13 de junio de 2018; fecha en la que se recibió en la dirección electrónica habilitada de ambas entidades un mensaje del servicio de notificaciones electrónicas de la Fábrica Nacional de Moneda y Timbre con el aviso de que hasta el 29 de julio siguiente tendrían disponible una notificación del juzgado de Lorca relacionada con el procedimiento EHJ 0362-2018, a la que, para que constase como leída, debía acceder a través de un enlace adjunto. La ejecutada accedió a dicho enlace el 24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entidad demandante de amparo presentó el 31 de julio de 2018 escrito de oposición a la ejecución despachada. Por auto de 21 de septiembre de 2018, el órgano judicial acordó la inadmisión de la oposición formulada por entender extemporánea su presentación, tras tomar como fecha de emplazamiento el 13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entidad demandante de amparo interpuso recurso de reposición, alegando que la notificación y requerimiento no habían de entenderse realizadas el 13 de junio de 2018, sino el 25 de julio siguiente, y que la comunicación remitida a través de la dirección electrónica habilitada no constituye sino un aviso de puesta a disposición para descarga de su contenido durante un plazo determinado; poniendo de manifiesto que, entenderlo de otro modo, además de infringir los arts. 135, 152, 160 y 162 de la Ley de enjuiciamiento civil (LEC), vulneraría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fue desestimado por auto de 27 de febrero de 2019 con fundamento en que las entidades ejecutadas tienen la condición de persona jurídica y, por tanto, están obligadas a relacionarse con la administración de justicia por medios electrónicos, de conformidad con lo previsto en la disposición transitoria cuarta de la Ley 42/2015, de 5 de octubre, de reforma de la Ley de enjuiciamiento civil, así como en los arts. 14.2 a) de la Ley 39/2015 del procedimiento administrativo común de las administraciones públicas, y 273.3 LEC. Según el auto, el art. 162.2 LEC impone que la comunicación electrónica surte efecto trascurridos tres días desde que fue efectuada sin que el destinatario acceda a su contenido. Concluye que, al constar que la notificación se puso a disposición de las ejecutadas el 13 de junio de 2018, la presentación del escrito de oposición el 31 de julio de 2018 se produjo fuera del plazo legalmente establecido en el art. 556.1 LEC, esto es más allá de los diez días siguientes al de la notificación del auto despachando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alega que las resoluciones judiciales impugnadas han vulnerado su derecho a la tutela judicial efectiva sin indefensión (art. 24.1 CE), al haberse efectuado su emplazamiento como ejecutada a través de un correo electrónico remitido por un servicio de notificaciones electrónicas y no mediante entrega de la documentación correspondiente en papel en la sede de su domicilio social y ello pese a que esa comunicación fue el primer emplazamiento en la causa. Además, señala que, en todo caso, siguió las indicaciones que le facilitó la comunicación electrónica, de manera que accedió al contenido de la notificación dentro del plazo fijado de disponibilidad; fecha que, sin embargo, el órgano judicial ha considerado fuera de plazo, por lo que acordó la inadmisión del escrito de oposición presentado dentro de los diez días que prevé el art. 556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insiste en que, por ser una persona jurídica, si bien está obligada a relacionarse con la administración de justicia a través de medios electrónicos, según establece el art. 273 LEC; sin embargo, cuando se trata del primer emplazamiento y, por tanto, todavía se no ha tenido ninguna relación con el juzgado correspondiente en ese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establece que “cuando las partes no actúen representadas por procurador o se trate del primer emplazamiento o citación al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además, expone que el auto de 27 de febrero de 2019 fundamenta su decisión en la Ley del procedimiento administrativo común, norma que es inaplicable al ámbito procesal civil, puesto que además de existir normas concretas al respecto, no se dan en uno y otro ámbito las mismas garantías procedimentales. Precisa que en materia de notificación de actos procesales resulta aplicable tanto la Ley de enjuiciamiento civil como el art. 24 CE, que reconoce el derecho a la tutela judicial efectiva. Alega finalmente que se ha producido también una vulneración del derecho a un proceso con todas las garantías (art. 24.2 CE), en las vertientes del derecho a la defensa contradictoria y del derecho a la asistencia letrada, las cuales permiten en todos los órdenes jurisdiccionales evitar desequilibrios en la posición procesal de las partes, sin limitaciones a su defensa que pudieran en caso contrario ocasionar indefensión a alguna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solicita que se estime el recurso del amparo, acordando la nulidad de las resoluciones judiciales impugnadas y se ordene reponer las actuaciones al momento previo al dictado de la primera de las resoluciones judiciales impugnadas, a fin de que el juzgado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16 de septiembre de 2019, acordó admitir a trámite el recurso de amparo apreciando que concurre en el mismo una especial trascendencia constitucional [art. 50.1 de la Ley Orgánica del Tribunal Constitucional (LOTC)] porque puede dar ocasión para aclarar o cambiar su doctrina, como consecuencia de cambios normativos relevantes para la configuración del contenido del derecho fundamental [STC 155/2009, FJ 2 b)]”; dirigir atenta comunicación al órgano judicial para la remisión de testimonio o copia adverada de las actuaciones y el emplazamiento de quienes hubieran sido parte en el procedimiento para que puedan comparecen en el recurso de amparo; y la formación de la pieza separada de suspensión, que fue resuelta por ATC 129/2019, de 28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entidad Pera Assets Designated Activity Company, representada por la procuradora de los tribunales doña Blanca María Grande Pesquero y bajo la asistencia del letrado don Alejandro Ingram Solís, por escrito registrado el 4 de octubre de 2019,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5 de Lorca para comparecer ante este tribunal, por lo que solicitó que se le tuviera por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Tercera de este tribunal, por providencia de 14 de diciembre de 2020, tuvo por personada y parte a la procuradora doña Blanca María Grande Pesquero en la representación acreditada y acordó dar vista de las actuaciones a las partes personadas y al Ministerio Fiscal, por plazo común de veinte días, a fin de que, conforme con lo previsto en el art. 52 LOTC,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29 de enero de 2021, presentó sus alegaciones interesando la estimación del recurso de amparo y, en consecuencia,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 El Ministerio Fiscal fundamenta esta petición en la jurisprudencia constitucional establecida en las SSTC 40/2020, de 27 de febrero, y 43/2020, de 9 de marzo, en las que, entre otras, se han resuelto demandas de amparo semejantes a la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entidad recurrente presentó sus alegaciones el 21 de enero de 2021, remitiéndose a lo expuesto en su demanda, haciendo mención adicional a la STC 40/2020, de 27 de febrero, en la que el tribunal resolvió estimatoriamente un asunto prácticamente idéntico al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25 de febrero 2021, se señaló para deliberación y votación de la presente sentencia el día 3 de marzo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jurisprudencia constitucional establecida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40/2020, de 27 de febrero, FJ 3, ha abordado el examen de la misma queja de fondo planteada en este recurso, en la que se aduce también la vulneración del art. 24.1 CE como consecuencia de la inadmisión por extemporáneo del escrito de oposición a la ejecución. Se advierte en ella que para su solución resulta de aplicación la doctrina del tribunal plasmada en las SSTC 6/2019, de 17 de enero, FJ 4 a) (iii), dictada al resolver una cuestión de inconstitucionalidad planteada en relación con el último inciso del artículo 152.2 LEC, y 47/2019, de 8 de abril, FJ 4 a), recaída en un proceso de amparo, en relación con la garantía de emplazamiento personal inicial del demandado o ejecutado en los procesos regidos en esta materia por la Ley de enjuiciamiento civil (directa o supletoriamente). En ellas se ha concluido que no procede efectuar por medios electrónicos la citación o emplazamiento del demandado aún no personado en el procedimiento, dado que estos actos deben realizarse por remisión a su domicilio, y que dicha forma de comunicación no puede ser sustituida por otra electrónica, como la efectuada a través de la dirección electrónica habilitada. Tal emplazamiento personal se exige en el art. 155.1 LEC. Es complemento de este requisito la regla establecida en el art. 273.4 LEC sobre la presentación en papel de las copias de los escritos y documentos que sustenten la acción. El incumplimiento de aquel deber del órgano judicial, “acarrea por tanto la conculcación de aquel derecho fundamental”, tal como tiene declarado el tribunal en varios recursos de amparo que se refieren a procesos laborales, civiles y concursales, los cuales aparecen especificados en el mismo fundamento jurídico 3,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permite concluir ahora, al igual que se hizo en la STC 40/2020, FJ 4, que las dos resoluciones judiciales impugnadas vulneraron el derecho a la tutela judicial efectiva sin indefensión de la recurrente por no proceder a su emplazamiento personal en el proceso a efectos de requerirla de pago o, alternativamente, permitirle presentar su oposición a la ejecución, ya que el órgano judicial optó, en cambio, por un emplazamiento electrónico mediante el servicio de notificaciones electrónicas y dirección electrónica habilitada de la Fábrica Nacional de Moneda y Timbre. Por otra parte, el plazo para presentar el escrito de oposición fue computado invocando normas del procedimiento administrativo común que son ajenas al ámbito jurisdiccional en el que nos encontramos.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resolución, el presente recurso de amparo ha de ser estimado en aplicación de la doctrina fijada en las SSTC 47/2019 y 40/2020 apreciando la vulneración del derecho a la tutela judicial efectiva sin indefensión de la entidad demandante (art. 24.1 CE). De conformidad con lo establecido en el art. 55 LOTC, procede declarar la nulidad de los autos impugnados del Juzgado de Primera Instancia e Instrucción núm. 5 de Lorca, así como de todo lo actuado en el procedimiento de ejecución hipotecaria desde que se proveyó a su emplazamiento por medio de la dirección electrónica habilitada, y ordenar la retroacción de las actuaciones a este momento a fin de que el juzgado lleve a cabo dicho emplazamiento de manera respetuosa con el derecho fundamental de la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Penrei Inversiones,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recurrente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los autos de 21 de septiembre de 2018 y 27 de febrero de 2019, dictados por el Juzgado de Primera Instancia e Instrucción núm. 5 de Lorca en el proceso de ejecución hipotecaria núm. 362-2018, así como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demandante de amparo, debiendo llevarse a cabo de nuevo este último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marzo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