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7579-2019 promovido por Euroinversiones Inmobiliaria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diciembre de 2019, la entidad Euroinversiones Inmobiliarias Costa Sur, S.L., representada por la procuradora de los tribunales doña Blanca Berriatua Horta y bajo la dirección del letrado don Marcelino Gilabert García, interpuso recurso de amparo contra los autos de 20 de noviembre de 2018 y de 11 de septiembre de 2019, dictados por el Juzgado de Primera Instancia e Instrucción núm. 4 de Lorca, en el procedimiento de ejecución hipotecaria núm. 362-2018,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43.433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26 de junio de 2018, se acordó despachar ejecución frente las sociedades demandadas por la cantidad de 8199,12 € de principal y 2459,73 € como intereses y costas presupuestados. El servicio de notificaciones de la Fábrica Nacional de Moneda y Timbre remitió a la demandante de amparo, a través de la dirección electrónica habilitada, requerimiento y notificación del auto el día 3 de julio de 2018. En dicha comunicación se informa de que la notificación estaría disponible hasta el 18 de agosto del mismo año, accediendo la recurrente de amparo efectivamente a la página web y a la notificación dentro del plazo en que la misma se encontraba disponible, concretamente el 3 de agosto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31 de agosto de 2018. Por auto de 20 de noviembre de 2018 se acordó su inadmisión por considerar la pretensión extemporánea.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habían de considerarse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además de diversos preceptos de la Ley de enjuiciamiento civil (arts. 135, 152, 169 y 162), y el art. 24 CE. Tras su tramitación el recurso de reposición fue desestimado por auto de 11 de septiembre de 2019, notificándose el auto por Lexnet el 13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al no haberse notificado personalmente una demanda de ejecución hipotecaria, otorgándose efectos de notificación a la remisión de un correo electrónico que carece de los requisitos procesales esenciales para ser considerado como 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mercantil recurrente en amparo que la interpretación ofrecida en el auto objeto de impugnación, eludiendo las garantías exigibles para las notificaciones de un proceso judicial y entendiendo que la recurrente tenía la obligación de comunicarse electrónicamente con la administración —incluso con la administración de justicia—,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 Por último, se menciona en la demanda de amparo “la recentísima sentencia del Tribunal Constitucional STC 47/2019, de 8 de abril, que no solo confirma todo lo dicho hasta ahora sino que lo refuerza” y cuyos fundamentos jurídicos 2 y 3 reproduce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se inadmitió a trámite el presente recurso de amparo. Tal decisión fue modificada por auto de 19 de noviembre de 2020, en que la Sección Segunda de este tribunal resolvió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fechada el 25 de noviembre de 2020, se dirige comunicación al Juzgado de Primera Instancia e Instrucción núm. 4 de Lorca, a fin de que emplazase a quienes hubieran sido parte en el procedimiento de ejecución hipotecaria núm. 362-2018, excepto la parte recurrente en amparo, para que en el plazo de diez días pudieran comparecer en el recurso de amparo, si lo desean. En esta providencia no se reclaman las actuaciones por estar ya incorporadas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fecha se acuerda formar pieza separada de suspensión según el art. 56.1 LOTC, concediendo un plazo común de tres días al Ministerio Fiscal y a la demandante de amparo, para que formularan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el 9 de diciembre de 2020, la parte recurrente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14 de diciembre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(art. 56 LOTC),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362-2018,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Ministerio Fiscal, que resulta improcedente la suspensión solicitada y, por el contrario, es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 varios autos que resuelven incidentes de ejecución de esta misma serie de recursos de amparo. Valgan como ejemplo, en relación con el mismo recurrente en amparo, los recientes AATC 163/2020 y 166/2020, de 14 de diciembre; 153/2020, 154/2020 y 155/2020, de 30 de noviembre; 137/2020, 141/2020 y 142/2020, de 16 de noviembre; 123/2020, de 19 de octubre; 103/2020 y 110/2020, de 21 de septiembre; 78 y 81/2020 de 20 de julio, y 51/2020,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362-2018,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