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22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3816-2020, promovido por don Ikram Benhaddi, contra auto de fecha 2 de julio de 2020, dictado por la Sala de lo Penal del Tribunal Supremo, en la que se declaraba no haber lugar a autorizar al demandante a interponer recurso de revisión contra la sentencia dictada por esa misma Sala de fecha 10 de febrero de 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El presente recurso de amparo se dirige contra el auto de fecha 2 de julio de 2020, dictado por la Sala de lo Penal del Tribunal Supremo, en la que se declaraba no haber lugar a autorizar a la demandante a interponer recurso de revisión contra la sentencia dictada por esa misma Sala de fecha 10 de febrero de 2017, en la que se desestimaba el recurso de casación interpuesto contra la sentencia de fecha 23 de junio de 2016 dictada por la Sección Primera de la Audiencia Provincial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22 de febrero de 2021,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219.11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219.11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3816-2020,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