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6502-2019, promovido por Euroinversiones Inmobiliarias Costa Sur, S.L., contra el auto del Juzgado de Primera Instancia e Instrucción núm. 5 de Lorca, de 10 de enero de 2019, que inadmitió la demanda de oposición a la ejecución formulada por dicha mercantil, en el procedimiento de ejecución hipotecaria núm. 355-2018 instado por la entidad Banco de Sabadell, S.A., y contra el auto del mismo juzgado, de 23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13 de noviembre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43.357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5 de Lorca, al que correspondió el conocimiento del proceso, dictó auto el 6 de junio de 2018 por el que acordó el despacho de ejecución (procedimiento de ejecución hipotecaria núm. 355-2018),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15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5 de Lorca relativa al proceso “EJH/0000355/2018”, notificación a la que podía acceder entre los días 15 de junio a 31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25 de julio de 2018 por personal de la recurrente se accedió al enlace remitido por la dirección electrónica habilitada y, con ello, a la notificación enviada por el juzgado de primera instancia ejecutor en relación con el procedimiento hipotecario núm. 355-2018. También en esa fecha, la Fábrica Nacional de Moneda y Timbre emitió un certificado electrónico que obra en las actuaciones del proceso,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5 de Lorca dictó auto el 10 de enero de 2019,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Euroinversiones Inmobiliarias Costa Sur, S.L., representada por el procurador don Antonio Serrano Caro por estar presentada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ejecutor dictó auto el 23 de septiembre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[sic],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y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clarificador el acuerdo no jurisdiccional del Pleno de la Sala Cuarta del Tribunal Supremo de 6 de julio de 2016 (LA LEY 72866/2016):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se han manifestado la Sección Tercera de la Audiencia Provincial de Palma de Mallorca (sentencia 180/2018), o las Secciones Cuarta y Quinta de la Audiencia Provincial de Murcia (auto 68/2018 y sentencia 109/2018, respectivamente), dando validez a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el Informe 12/2018 de la Comisión de consultas doctrinales del Colegio de Registradores de la Propiedad respondiendo a una consulta elevada por el Centro de estudios hipotecarios de Murcia, con carácter doctrinal y dejando a salvo la libertad de calificación se llega a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exigencia legal de la fijación de un domicilio trata de conjugar la agilidad del procedimiento de ejecución, facilitando al acreedor el requerimiento al deudor, con la tutela judicial efectiva del mismo, evitando su indefensión, por lo que no se considerará obstáculo que impida la inscripción el hecho de que el requerimiento de pago al deudor, hipotecante no deudor o tercer poseedor, cuando se trate de personas jurídicas, se haya efectuado por medios electrónicos, siempre que del decreto se desprenda que este requerimiento se ha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ese requerimiento electrónico ha sido fallido, al menos cuando la persona jurídica a notificar o requerir no haya sido la impulsora del procedimiento y no conste inscrita una dirección electrónica, no puede considerarse que el mismo se ha realizado y, a efectos de la inscripción de la ejecución hipotecaria, debe exigirse que la notificación se haya intentado también en el domicilio que conste en el registro y, en su caso, en el domicilio real personal al que se ha referido este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trata, en todo caso, de que la notificación se realice efectivamente en la persona que deba recibirla, de modo que la circunstancia de que figure un domicilio en el registro a efectos de notificaciones únicamente trata de dar efectividad a esta comunicación, facilitando el desarrollo del procedimiento, pero sin que pueda considerarse un impedimento la circunstancia de que el requerimiento se efectúe por otros medios. A la inversa, la existencia de un domicilio electrónico, no puede excluir la posibilidad de efectuar la notificación en el domicilio personal pactado o real, si aquella resulta infructuosa.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mientras no se modifique el artículo 682 de la Ley de enjuiciamiento civil, no se considera que sea defecto la ausencia, en la escritura de constitución de hipoteca, del domicilio electrónico a efecto de las comunicaciones con las personas jurídicas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15/06/2018 no accediendo al contenido hasta el día 25/07/2018 (fuera de los tres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10 de enero de 2019,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23 de septiembre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23 de septiembre de 2019 que desestimó el recurso de reposición promovido contra la anterior resolución —y del que se han expuesto sus argumentos—, se rechaza por la recurrente que el juzgado haya fundamentado su segunda decisión en la Ley del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5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29 de junio de 2020 por la que acordó: (i) admitir a trámite el recurso, “apreciando que concurre en el mismo una especial trascendencia constitucional (art. 50.1 LOTC) porque el recurso plantea un problema o afecta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constatar que el testimonio de las actuaciones ya había sido remitido a requerimiento de la Secretaría de Justicia de la Sección y emplazar a través del juzgado ejecutor a quienes hubieren sido parte en el procedimiento excepto a la parte recurrente en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11 de septiembre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Sección Cuarta de 28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escrito de alegaciones el 30 de noviembre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355-2018”,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2 de diciembre de 2020, por el que interesó se dictara resolución estimatoria del recurso de amparo, haciendo mención a la STC 40/2020, del Pleno del Tribunal Constitucional que resuelve el recurso de amparo 5377-2018 promovido por la misma parte Euroinversiones Inmobiliarias Costa Sur, S.L., “en un asunto prácticamente igual al del presente recurso de amparo” que refuerza las exigencias para llevar a efecto el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auto de la Sala Segunda de este tribunal núm. 108/2020, de 21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11 de diciembre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5 de Lorca, de 10 de enero de 2019 y 23 de septiembre de 2019, recaídos en el proceso hipotecario núm. 355-2018.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10 de enero de 2019 y 23 de septiembre de 2019, dictados por el Juzgado de Primera Instancia e Instrucción núm. 5 de Lorca en el proceso de ejecución hipotecaria núm. 355-2018,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