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3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don Ricardo Enríquez Sancho, en el recurso de amparo núm. 5202-2018, promovido por don Julián Casado Asenjo,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Casado Asenjo, representado por la procuradora de los tribunales doña Miriam Martón Guillén, bajo la dirección del letrado don Luis Corno Caparrós, interpuso recurso de amparo contra el auto de la Sección Sexta de la Audiencia Provincial de Alicante 179/2017, de 15 de mayo, pronunciado en el recurso de apelación núm. 930-2017, mediante escrito registrado en este tribunal el 5 de octubre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presidenta de la Sala Segunda del tribunal por acuerdo de 14 de enero de 2019, estableció que, visto que los recursos de amparo 5200-2018 y 5202-2018, turnados a la Sala Segunda de este tribunal, provienen del mismo proceso, de conformidad con el acuerdo del Pleno de 23 de octubre de 2013 sobre normas para la designación de ponencias, la del segundo de dichos recursos correspondía a la misma que la del recurso 5200-2018.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por escrito registrado el 8 de febrero de 2019, presentó recurso de súplica, alegando que la identidad objetiva de la resolución impugnada con la del recurso de amparo 5200-2018 no permite la acumulación con dicho recurso por imposibilidad objetiva, ya que dicho recurso ha sido inadmitido por providencia de 12 de diciembre de 2018, no se dan los requisitos previstos en el art. 83 de la Ley Orgánica del Tribunal Constitucional (LOTC) para la acumulación ni se ha procedido a dar el trámite de audiencia previsto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secretaria de justicia de la Sala Segunda del Tribunal, mediante diligencia de ordenación de 12 de febrero de 2019, acordó dar traslado del escrito al Ministerio Fiscal por un plazo de tres días para que alegara lo que estimara pertinente en relación con el recurso de súplica formulado,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 de marzo de 2019, presentó alegaciones interesando la desestimación del recurso, poniendo de manifiesto que carece de objeto la impugnación, ya que parte del error de considerar que se trata de una acumulación del art. 83 LOTC cuando en realidad se está acordando solo la designación de magistrado ponente.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demandante de amparo interpone recurso de súplica contra la decisión de 14 de enero de 2019, por la que se establece, en aplicación del acuerdo del Pleno de 23 de octubre de 2013 sobre normas para la designación de ponencias, que la ponencia de este recurso se corresponda con la del recurso de amparo núm. 5200-2018, por impugnarse en ambos la misma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términos expuestos por el Ministerio Fiscal, el recurso debe ser desestimado. Las alegaciones del demandante de amparo se dirigen a combatir una supuesta decisión de acumulación de recursos de amparo adoptada al amparo del art. 83 LOTC. Sin embargo, este no es el contenido del acuerdo impugnado, el cual se limita a aplicar una regla de reparto de ponencias ajena a una eventual decisión sobre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