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10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Encarnación Roca Trías, presidenta, y los magistrados, don Juan Antonio Xiol Ríos y don Pedro José González-Trevijano Sánchez, en el recurso de amparo núm. 4886-2019, promovido por doña María Mercedes Rivero Bartolomé,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Mercedes Rivero Bartolomé, representada por la procuradora de los tribunales doña Yolanda Ortiz Alfonso, bajo la dirección del letrado don Rodrigo Royo López, interpuso recurso de amparo contra el auto del Juzgado de Primera Instancia e Instrucción número 2 de Tarancón núm. 42/2019, de 18 de junio de 2019, pronunciado en el procedimiento de ejecución hipotecaria núm. 137-2011, mediante escrito registrado en este tribunal el 31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aduce en su recurso la vulneración del derecho a la tutela judicial efectiva (art. 24.1 CE), en su vertiente de derecho de acceso a la jurisdicción, ya que el órgano judicial había procedido a la notificación edictal de su condición de codemandada en el procedimiento de referencia sin haberse desarrollado la actividad judicial necesaria para la localización de un domicilio de notificación alternativo.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mediante providencia de 4 de junio de 2020, acordó no admitir el recurso a trámite,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9 de julio de 2020, interpuso recurso de súplica contra dicha providencia, solicitando que fuera dejada sin efecto la inadmisión por la causa prevista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argumenta que la vulneración aducida del art. 24.1 CE por la defectuosa notificación edictal no es manifiestamente inexistente una vez constatado en las actuaciones que el órgano judicial solo hizo un intento de notificación en la finca hipotecada previa a la notificación edictal sin desarrollar actividad alguna para localizar un domicilio de notificación alternativo y sin atender a la circunstancia de que en las propias actuaciones figuraba un domicilio a través de que se estaba en comunicación con la entidad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Tercera del tribunal, por diligencia de ordenación de 10 de julio de 2020, acordó dar traslado del recurso de súplica para alegaciones a la demandante, quien por escrito registrado el 22 de julio de 2020 se adhirió a los argumentos esgrimidos y a las peticiones contenidas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y de las actuaciones recibidas, a la vista de las alegaciones del Ministerio Fiscal expuestas en el recurso de súplica y de la jurisprudencia de este tribunal sobre el particular, pone de relieve que no puede concluirse que las vulneraciones aducidas por la demandante de amparo sean manifiestamente inexistentes.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y reponer las actuaciones a ese momento procesal para que se tome una nueva decisión sobre la 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4 de junio de 2020,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