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1914-2020, promovido por la entidad Fuentes y Rebellín, S.L., contra el auto del Juzgado de Primera Instancia e Instrucción núm. 4 de Molina de Segura (Murcia), de 27 de febrero de 2020, que desestimó el incidente de nulidad de las actuaciones llevadas a efecto en el curso del procedimiento de ejecución hipotecaria núm. 112-2018, promovido por la Sociedad de Gestión de Activos Procedentes de la Reestructuración Bancaria, S.A., (en adelante, SAREB, S.A.) personada en estas actuaciones.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15 de abril de 2020, el procurador de los tribunales don Eduardo Moya Gómez, actuando en nombre y representación de la mercantil Fuentes y Rebellín, S.L., asistida por el letrado don Manuel Muñiz Bernuy, interpuso demanda de amparo contra la resolución ya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SAREB, S.A., interpuso demanda de ejecución hipotecaria contra la mercantil Fuentes y Rebellín, S.L., en reclamación de 6 132 529,96 € de principal, así como la cantidad de 1 839 758,99 € por intereses, gastos y costas, cuyo conocimiento correspondió al Juzgado de Primera Instancia e Instrucción núm. 4 de Molina de Segura (Murcia), que incoó el procedimiento de ejecución hipotecaria núm. 112-2018, en cuyo seno dictó el auto de 8 de enero de 2019 por el que ordenó despachar ejecución por los mencionados importes, así como requerir a la entidad ejecutada a fin de que efectuara el pago de aquellos. En la misma fecha, el letrado de la administración de justicia emitió un decreto para dar ejecución a lo acordado en el citado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notificación del auto, y el consiguiente requerimiento y emplazamiento, se produjeron a través del servicio de notificaciones electrónicas de la Fábrica Nacional de Moneda y Timbre, más en concreto, a través de la dirección electrónica habilitada. Según las certificaciones obrantes en las actuaciones, consta que la notificación de la cédula de emplazamiento tenía como número de referencia el “Acto 30027410000000001910/2019”. Fue enviada el 9 de enero de 2019, a las 9:53 horas, y recibida en destino el día 11 de enero de 2019, a las 17:40 horas, sin que conste fecha de retirada por 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posterioridad, el día 6 de mayo de 2019, la representación de la sociedad Fuentes y Rebellín, S.L., presentó un escrito en el juzgado promoviendo incidente de nulidad de actuaciones. En ese escrito manifestaba haber tenido conocimiento de que se seguía un procedimiento de ejecución hipotecaria contra ella en reclamación del pago de un préstamo con garantía hipotecaria constituido sobre determinados bienes inmuebles de su titularidad, sin que le hubiere constado el emplazamiento para personarse en las actuaciones, por lo que entendía que se había producido una vulneración de su derecho a la tutela judicial efectiva (art. 24.1 CE). En el escrito se argumentaba que no se había “respetado la forma prevista para el primer emplazamiento del demandado, cuando aún no se encuentra personado en autos, el cual debe ser personal”, según dispone el art. 155 de la Ley de enjuiciamiento civil (LEC). Con amplia reseña jurisprudencial sobre la relevancia de la corrección de los actos de comunicación con las partes, en el suplico del escrito solicitaba que se le tuviera por parte personada en las actuaciones, por instado el incidente y que el juzgado declarara la nulidad de todas las actuaciones “en base a la falta de tasación de los bienes gravados con la hipoteca que hoy se ejecuta con la consecuencia de declarar la improcedencia de la acción hipotecaria instada, o subsidiariamente, declarar la nulidad de actuaciones judiciales realizadas desde la presentación de la demanda” y otorgarle plazo para ejercitar los derechos de oposición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admitido a trámite el incidente, la ahora demandante de amparo presentó un escrito el día 20 de mayo de 2019, en el que puso de manifiesto que este tribunal había dictado una sentencia, en concreto la STC 47/2019, de 8 de abril, cuya copia aportaba, en la que se establecía como doctrina la necesidad de que el primer emplazamiento realizado a las personas jurídicas fuera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27 de febrero de 2020, el juzgado dictó el auto que es objeto de este recurso de amparo. En su fundamento jurídico primero, con apoyo en el art. 152.2, en relación con los arts. 173 y 162.2 LEC, y el art. 11.1 del Real Decreto 1065/2015, de 27 de noviembre, sobre comunicaciones electrónicas en la administración de justicia, el órgano judicial consideró que la entidad recurrente estaba obligada a comunicarse por medios electrónicos con la administración de justicia, y que disponía de una dirección electrónica habilitada a tal efecto, que estaba operativa. En consecuencia, el incidente de nulidad de actuaciones fue desestimado, al entender que el acto de notificación realizado a través de la dirección electrónica habilitada era correcto.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 resolución impugnada vulnera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que considera de interés, la fundamentación del recurso se basa en la amplia reseña de la doctrina expuesta en la STC 47/2019, de 8 de abril, y en la jurisprudencia allí citada. El recurrente afirma que el órgano judicial incumplió la normativa procesal (art. 155.1 LEC), al haber notificado telemáticamente el primer emplazamiento, cuando la norma exige que se haga de forma personal y con entrega de la documentación anexa. Esta infracción procesal le ha causado indefensión, porque le ha privado del conocimiento de la existencia del proceso y, por lo tanto, del derecho de acceso a la jurisdicción para desplegar su derecho de defensa y poder oponerse a la ejecución hipotecaria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dedica un apartado a justificar la especial trascendencia constitucional del recurso, en el que se resalta la “contravención” del auto con la doctrina de este tribunal, lo que permite tener por cumplido el requisito exigido en el art. 49.1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finaliza solicitando su estimación, y la consiguiente nulidad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digo se solicitó la medida cautelar de suspensión de la ejecución del auto recurrido, al amparo de lo dispuesto en el art. 56 LOTC, argumentando la apariencia de buen derecho, basada en el precedente jurisprudencial, y el riesgo de generar una situación irreversible mediante la ejecución y consiguiente subasta de los bienes hipotecados, ofreciendo finalmente una fianza de 1000 € para garantizar los posibles perjuicios frente 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16 de noviembre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(ii) dirigir atenta comunicación al Juzgado de Primera Instancia e Instrucción núm. 4 de Molina de Segura, a fin de que proceda a “emplazar a quienes hubieran sido parte en el procedimiento” de origen, excepto a la “recurrente en amparo”, para poder comparecer en el presente proceso constitucional en el plazo de diez días; y (iii) formar la correspondiente pieza separada “para la tramitación de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marco de la pieza separada de suspensión, la entidad recurrente presentó escrito de alegaciones en fecha 26 de noviembre de 2020, reiterando los argumentos expuestos en la demanda; mientras que el Ministerio Fiscal formuló alegaciones mediante dictamen fechado el 2 de diciembre de 2020, interesando la anotación preventiva de la demanda, conforme permite el art. 56.3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del ATC 168/2020, de 14 de diciembre, la Sala Segunda de este tribunal acordó denegar la suspensión cautelar solicitada, ordenando en cambio la anotación preventiva de la demanda de amparo en el registro de la propiedad, conforme a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9 de diciembre de 2020, la procuradora de los tribunales doña Paula Bonafuente Escalada, actuando en nombre y representación de la entidad SAREB, S.A., bajo la dirección letrada de don Francisco Moreno Sabater, solicitó que se le tuviera por personada en este recurso, entendiéndose con esa representación las sucesivas diligencias y notificaciones que se produjeran.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 de febrero de 2021, la secretaría de justicia de la Sala Segunda de este tribunal dictó diligencia de ordenación por la que se acordó, de un lado, tener por personado y parte a la entidad SAREB, S.A.,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presentó escrito de alegaciones el 18 de febrero de 2021,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4 de Molina de Segura, en el juicio de ejecución hipotecaria 112-2018”, así como la retroacción de las actuaciones “al momento inmediatamente anterior a dicha notificación para que se le dé al recurrente [la]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la fiscal comienza con una reseña de los antecedentes que consideró de interés, para continuar señalando que nos encontramos ante el mismo supuesto que ya fue resuelto en sentido estimatorio mediante las SSTC 40/2020, de 27 de febrero y 43/2020, de 9 de marzo, cuyo contenido extracta parcialmente.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el art. 155.2 LEC. Una doctrina que, para la fiscal, es plenamente aplicable al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la secretaría de justicia se ha dictado diligencia el 11 de marzo de 2021, dejando constancia de la presentación del escrito de alegaciones del Ministerio Fiscal, “no habiendo efectuado alegación alguna […] las partes personadas”, quedando el asunto concluso y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15 de abril de 2021,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plantea un supuesto de hecho idéntico a los ya resueltos en anteriores precedentes de este tribunal en los que se impugnaba la actuación judicial consistente en la inadmisión de incidentes de nulidad de actuaciones, por considerar realizados conforme a Derecho las notificaciones de la admisión de una demanda y el consiguiente emplazamiento para personación a través del servicio de notificaciones electrónicas y de dirección electrónica habilitada de la Fábrica Nacional de Moneda y Timbre.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La parte contraria en el procedimiento judicial de origen no ha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el debate en los términos descritos, debe indicarse que el Pleno de este tribunal ha dictado la STC 47/2019, de 8 de abril, en la que ha tenido la oportunidad de resolver un recurso de amparo donde se dio respuesta a los mismos argumentos que aquí se postulan, con fallo estimatorio de la demanda. El pronunciamiento contenido en la citada STC 47/2019, ha sido ulteriormente reiterado en las SSTC 40/2020, de 27 de febrero; 43/2020, de 9 de marzo; 55/2020, de 15 de junio; 76/2020, de 29 de junio, o 176/2020, de 30 de noviembre, por citar algunas de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en este caso la concurrencia de algún elemento distintivo que obligue a una fundamentación o resultado diferente a lo declarado entonces, procede por tanto que hagamos aplicación de la doctrina expuesta en los citados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47/2019, de 8 de abril, FJ 4 a), recaída en un proceso de amparo, con cita de la STC 6/2019, de 17 de enero, FJ 4 a), dictada en sede de cuestión de inconstitucionalidad, se afirma la “garantía del emplazamiento personal del demandado o ejecutado en los procesos regidos en esta materia por la LEC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[del] derecho fundamental” a la tutela judicial efectiva, como ya ha declarado este tribunal en varios recursos de amparo referidos a procesos laborales, civiles y concursales, precisamente en aplicación de la doctrina de referencia (ver, en tal sentido, las SSTC 102/2019, de 16 de septiembre, FJ 2; 150/2019, de 25 de noviembre, FJ 3; 7/2020, de 27 de enero, FJ 2; 122/2019, de 28 de octubre, FJ 3, y STC 129/2019, de 11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juzgado optó por un emplazamiento a través del servicio de notificaciones electrónicas y dirección electrónica habilitada de la Fábrica Nacional de Moneda y Timbre, que no está previsto en la normativa procesal para estos casos. Ese sistema de notificación determinó que el procedimiento se siguiera a espaldas de la entidad ahora recurrente, que no pudo ejercer las acciones que tuviera por conveniente. Una vez tuvo conocimiento del proceso, y planteado el correspondiente incidente de nulidad de actuaciones, este fue indebidamente desestimado porque, una vez invocada la doctrina de este tribunal, el juzgado debió aplicarla en el caso concreto a fin de reparar la vulneración alegada, lo que no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estimación del amparo por vulneración del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igualmente, el restablecimiento del derecho vulnerado, acordando la nulidad de la resolución impugnada y de todo lo actuado en el procedimiento de origen, desde el momento en que se proveyó al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Fuentes y Rebellín,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27 de febrero de 2020, dictado por el Juzgado de Primera Instancia e Instrucción núm. 4 de Molina de Segura (Murcia) en el proceso de ejecución hipotecaria núm. 112-2018, así como la nulidad de las actuaciones realizadas a partir del decreto de 8 de enero 2019, por el que se acordó la ejecución del auto de la misma fecha, que admitió a trámite de la demanda y el consiguiente despacho de la ejecución.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posterior al dictado del decreto de 8 de enero de 2019, debiendo llevarse a cabo de nuevo por el juzgado el trámite de notificación y emplazamiento a la parte demandada,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