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5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los magistrados, don Alfredo Montoya Melgar y don Cándido Conde-Pumpido Tourón, en el recurso de amparo núm. 5368-2020,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noviembre de 2020, la entidad Euroinversiones Inmobiliarias Costa Sur, S.L., representada por la procuradora de los tribunales doña Blanca Berriatua Horta y bajo la dirección del Letrado don Marcelino Gilabert García, interpuso recurso de amparo contra los autos de 21 de septiembre de 2018 y de 29 de septiembre de 2020, dictados por el Juzgado de Primera Instancia e Instrucción núm. 5 de Lorca, en el procedimiento de ejecución hipotecaria núm. 290-2018,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290-2018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servicio de notificaciones de la Fábrica Nacional de Moneda y Timbre remitió a la demandante de amparo, a través de la dirección electrónica habilitada, un aviso de notificación que le fue comunicado por dicho medio el 21 de mayo de 2018. En dicha comunicación se informa que la notificación estará disponible hasta el 6 de julio del mismo año. Según consta en el certificado remitido por el servicio de soporte del servicio de notificaciones electrónicas y dirección electrónica habilitada, la notificación fue aceptada el 6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18 de julio de 2018. Por auto de 21 de septiembre de 2018 se acordó su inadmisión por considerar la pretensión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21 de mayo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21 de mayo hasta el 6 de julio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29 de septiembre de 2020. Según esta resolución, “en fecha 21 de mayo de 2018 se notificó y requirió en legal forma a la demandada a través de la sede judicial electrónica al ser persona jurídica, la remisión fue correcta y no es hasta el día 18 de julio de 2018 cuando se presenta la oposición, claramente fuera del plazo de los diez días que se le concede a la parte ejecutada para presentar su oposición. Es por lo que se inadmitió la misma y por lo que el recurso ha de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a cuyo tenor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Señala que el auto recurrido vulnera el art. 24 CE teniendo en cuenta que la cuestión ya había sido resuelta por el Tribunal Constitucional, en numerosas sentencias en casos exactamente iguales a este, e incluso respecto a resoluciones del mismo Juzgado de Primera Instancia e Instrucción núm. 5 de Lorca; y así, cita las SSTC 40/2020, de 27 de febrero; 77/2020, de 29 de junio, y 130/2020, de 21 de septiembre. Reproduce también la STC 47/2019,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Justifica la especial trascendencia constitucional, aludiendo al hecho de que esta cuestión ya ha sido resuelta por el Tribunal Constitucional en numerosas sentencias, en las que ha sido parte la mercantil Euroinversiones Inmobiliarias Costa Sur, S.L., resolviendo el Tribunal Constitucional en el sentido de que el primer emplazamiento o citación al demandado debe hacerse en papel y en su domicilio, de conformidad con el art. 155 LEC. Así, señala que, entre otras, lo ha resuelto el Pleno del Tribunal Constitucional en su sentencia 40/2020, de 27 de febrero, y la Sala Segunda en su sentencia 43/2020, de 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la suspensión de la continuación del procedimiento de ejecución hipotecaria hasta que sea resuelto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febrero de 2021,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23 de febrero de 2021, interpuso recurso de súplica ex art. 50.3 de la Ley Orgánica del Tribunal Constitucional (LOTC) contra la providencia de 10 de febrero de 2021, en el que interesó que se dejara sin efecto la providencia indicada, dictándose otra en su lugar admitiendo el recurso de amparo. Para el fiscal son dos las razones por las que el Tribunal Constitucional debería replantearse la apreciación de la trascendencia constitucional. La primera es la existencia de otras demandas admitidas por las Salas Primera y Segunda de este Tribunal Constitucional con contenido sustancialmente idéntico al de la presente demanda. La identidad subjetiva y el planteamiento idéntico de las cuestiones alegadas trae consigo una contradicción lesiva de la seguridad jurídica, lo que abonaría la necesidad de abordar todas las demandas con un tratamiento único para llegar a una solución común y homogénea. El Ministerio Fiscal argumenta en su recurso que el contenido de la demanda es idéntico al de otras muchas interpuestas por la misma demandante o por Penrei Inversiones, S.L., contra resoluciones idénticas de diversos juzgados de primera instancia e instrucción de Lorca,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en este caso, en el que la demanda de amparo tiene su origen en el auto de 21 de septiembre de 2018 de inadmisión a trámite por extemporánea de la oposición a la ejecución y en el auto de 29 de septiembre de 2020 interpuesto contra la anterior resolución, conviene resaltar la fecha de este último auto, que es posterior a las SSTC 77/2020, de 20 de junio; 94/2020, de 20 de julio, y 130/2020, de 21 de septiembre, todas ellas estimando el amparo también demandado contra idénticas resoluciones dictadas por el mismo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razón es que, a juicio del fiscal, el juez incurre en una negativa manifiesta del deber de acatamiento de la doctrina del Tribunal Constitucional, pues cuando el juzgado desestima el recurso de reposición, el Tribunal Constitucional ya había sentado doctrina en su sentencia 40/2020, y había anulado resoluciones de idéntico contenido dictadas por el propio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24 de febrero de 2021, se acordó dar traslado del recurso a la representación del recurrente y concederle un plazo de tres días a fin de que alegara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 de marzo de 2021,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estimar el recurso de súplica interpuesto por el Ministerio Fiscal y dejar sin efecto, en consecuencia, la providencia de esta Sección de 10 de febrero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dos las razones por las que el Ministerio Fiscal considera que este recurso de amparo presenta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razón es la existencia de otras demandas admitidas por la Sala Primera y Segunda de este Tribunal Constitucional, con un contenido sustancialmente idéntico al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mercantiles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fue hasta que se dicta la STC 40/2020, de 27 de febrero (“BOE” núm. 83, de 26 de marzo de 2020), cuando se consideró aplicable la doctrina constitucional asentada en la STC 47/2019, de 27 de febrero, al primero del centenar de recursos de amparo interpuestos por los ejecutados —en aquel caso por Euroinversiones Inmobiliarias Costa Sur, S.L.,— y desde entonces hasta la fecha se han dictado en relación con las mismas mercantiles numerosas sentencias, todas ellas estimando recursos de amparo interpuestos con anterioridad a la fecha de interposición del presente, con cita de la STC 40/2020.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ha resuelto, como criterio unificador para la admisibilidad de los recursos de esta serie, que es la fecha de publicación en el “BOE” de la STC 40/2020, de 27 de febrero, la que ha de determinar el momento a partir del cual pierden especial trascendencia constitucional las solicitudes de amparo de esta serie coincidentes, en su contenido, con la ya resuelta en la citada resolución.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anteriores consideraciones, hemos de destacar que el presente recurso de amparo fue presentado ante este tribunal el 10 de noviembre de 2020, esto es, más de siete meses después de la publicación en el “BOE” de 26 de marzo de la STC 40/2020, de 27 de febrero, que, por primera vez, a instancia de una de las dos entidades ejecutadas en el proceso judicial precedente, abordó expresamente la cuestión ahora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en el momento de presentarse el recurso de amparo, la demanda ya no se refería a un problema o una faceta de un derecho fundamental sobre el que no existía doctrina específica de este tribunal (STC 155/2009, de 25 de junio, FJ 2 a)], ni tampoco el recurso puede dar ocasión al tribunal para aclarar o cambiar su doctrina, como consecuencia de cambios normativos relevantes para la configuración del contenido del derecho fundamental alegado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razón por la que el Ministerio Fiscal considera que el recurso tiene especial trascendencia constitucional es por entender que el órgano judicial ha incurrido en una negativa manifiesta del deber de acatamiento de la doctrina del Tribunal Constitucional. Afirma el Ministerio Fiscal que cuando el Juzgado de Primera Instancia e Instrucción núm. 5 de Lorca desestimó el recurso de reposición no solo se había dictado ya la STC 40/2020, sino que además el Tribunal Constitucional había anulado resoluciones de idéntico contenido dictadas por el propio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50.1 a) LOTC, el recurso de amparo no puede ser admitido a trámite si el recurrente no cumple —además de los restantes requisitos procesales previstos en los arts. 42 a 44 LOTC— la ineludible exigencia, impuesta por el art. 49.1 in fine LOTC, de justificar de manera expresa en la demanda de amparo la especial trascendencia constitucional del recurso (AATC 188/2008, de 21 de julio, FJ 1, y 289 y 290/2008, ambos de 22 de septiembre, FJ 1). En el mismo sentido, en la STC 155/2009, de 25 de junio, FJ 2, dictada por el Pleno de este tribunal, se insistió en que el recurrente “ha de satisfacer necesariamente, de acuerdo con lo dispuesto en el art. 49.1 in fine LOTC, la carga de justificar en la demanda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modo en el que se debe dar cumplimiento a la justificación de la especial transcendencia constitucional del recurso, debemos recordar que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tal fin, aunque no existe un modelo rígido al que haya de ajustarse la redacción de las demandas de amparo, es claro que debe responder a los cánones propios de este tipo de escritos procesales” (SSTC 17/2011, de 28 de febrero, FJ 2, y 69/2011, de 16 de mayo, FJ 3). A la parte recurrente, pues, le es exigible un “esfuerzo argumental” (ATC 154/2010, de 15 de noviembre, FJ 4) que ponga en conexión las vulneraciones constitucionales que alega con los criterios establecidos en el artículo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mercantil recurrente dedica un apartado específico de su demanda a justificar la especial trascendencia constitucional del recurso. En este apartado justifica la especial trascendencia constitucional aludiendo al hecho de que esta cuestión ya ha sido resuelta por el Tribunal Constitucional en numerosas sentencias, en las que ha sido parte la mercantil Euroinversiones Inmobiliarias Costa Sur, S.L., resolviendo el Tribunal Constitucional en el sentido de que el primer emplazamiento o citación al demandado debe hacerse en papel y en su domicilio, de conformidad con el art. 155 LEC, y no a través de la sede judicial electrónica. Así, señala, lo ha resuelto el Pleno del Tribunal Constitucional, entre otras, en su sentencia 40/2020, de 27 de febrero, y la Sala Segunda en su sentencia 43/2020, de 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recurrente no alega expresamente el motivo f) de la STC 155/2009, negativa manifiesta del deber de acatamiento de la doctrina de este tribunal, de su demanda parece deducirse que lo que a su juicio justifica la especial trascendencia constitucional de este recurso es la existencia de una doctrina constitucional clara al respecto sobre la cuestión planteada que no ha sido aplicada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concurra el supuesto de la negativa manifiesta del deber de acatamiento de la doctrina constitucional señalado en la STC 155/2009, FJ 2 f), son necesarios los siguientes requisitos característicos: (i) que no pueda ser identificada con “la errónea interpretación o aplicación de la jurisprudencia, incluso si fuera objetivable y verificable en el caso concreto” (STC 106/2017, de 18 de septiembre, FJ 2), sino como “la voluntad manifiesta de no proceder a su aplicación; o dicho en otras palabras, a una decisión consciente de soslayarla” (STC 83/2018, de 16 de julio, FJ 3); (ii)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en el presente supuesto la mercantil recurrente no pudo hacer valer la doctrina constitucional sentada en la STC 40/2020 (“BOE” de 26 de marzo de 2020) en el momento de interposición del recurso de reposición, porque dicha sentencia todavía no había sido dictada. Sin embargo, como señala el Ministerio Fiscal, el Juzgado de Primera Instancia e Instrucción núm. 5 de Lorca conocía esa doctrina en la fecha que dictó el auto resolviendo el recurso de reposición, 29 de septiembre de 2020, pues en ese momento ya se habían estimado numerosos recursos de amparo interpuestos por las mercantiles Penrei Inversiones, S.L., y Euroinversiones Inmobiliarias Costa Sur, S.L., y se había declarado la nulidad de distintos autos dictados por el propio Juzgado de Primera Instancia e Instrucción núm. 5 de Lorca, así como la nulidad de las actuaciones realizadas a partir del emplazamiento de las entidades recurrentes a través de la dirección electrónica habilitada (entre ellas, SSTC 94/2020, de 20 de julio, y 77/2020, de 29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dota de especial trascendencia constitucional a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estimar el recurso de súplica interpuesto por el Ministerio Fiscal y dejar sin efecto la providencia de 10 de febrero de 2021 impugnada, con el fin de reponer las actuaciones al momento anterior a su dictado, para que se dicte otra que, a tenor de lo hasta ahora razonado, se pronuncie de nuevo sobre la admisibilidad de la presente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10 de febrero de 2021 que acordó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que, a tenor de lo expuesto en el fundamento jurídico único de esta resolución, se pronuncie sobre su admisibilidad.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