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21 de abril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 Trevijano Sánchez, don Antonio Narváez Rodríguez, don Alfredo Montoya Melgar, don Ricardo Enríquez Sancho, don Cándido Conde-Pumpido Tourón y la magistrada doña María Luisa Balaguer Callejón en el recurso de inconstitucionalidad núm. 4261-2018, intrepuesto por el Gobierno de la Comunidad Autónoma de Aragón,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inconstitucionalidad núm. 4261-2018, interpuesto por el Gobierno de la Comunidad Autónoma de Aragón, contra diversos preceptos de la Ley 9/2017, de 8 de noviembre, de contratos del sector público, por la que se transponen al ordenamiento jurídico español las Directivas del Parlamento Europeo y del Consejo 2014/23/UE y 2014/24/UE, de 26 de febrero de 2014, se ha dictado la STC 68/2021 de 18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el Tribunal el 24 de marzo de 2021, la letrada de la Comunidad Autónoma de Aragón, al amparo de lo dispuesto en el art. 93 LOTC, solicitó la aclaración de la referida sentencia. La representación procesal del Gobierno de Aragón considera que, a pesar de que impugnó el art. 46.4 de la Ley 9/2017, de 8 de noviembre, de contratos del sector público, en su integridad, el tribunal únicamente se ha pronunciado sobre su párrafo segundo, declarándolo nulo e inconstitucional. Se aduce que este precepto fue recurrido por motivos diversos. Se alega que, aunque en el fundamento de derecho XI del escrito de interposición del recurso se fundamentó la inconstitucionalidad del párrafo segundo del art. 46.4 en que esta norma establecía una regulación supletoria y, que de acuerdo con la jurisprudencia constitucional (SSTC 118/1996 y 61/1997), el Estado carece de competencias para establecer este tipo de legislación, en el fundamento de derecho XII del referido escrito se alegó que este precepto era inconstitucional en su integridad porque vulneraba su potestad de autoorganización y sus competencias en materia de régimen local. Junto a ello se sostuvo que el art. 46.4 “infringe también la prohibición de introducir normativa de carácter supletorio”, señalándose a continuación “vicio de inconstitucionalidad al que ya se ha hecho alusión con anterioridad”.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Gobierno de Aragón sostiene que, en contra de lo declarado por el Tribunal al examinar la impugnación del art. 46.4 en la que afirma que “el párrafo segundo [es] el único expresamente cuestionado”, se recurrió el art. 46.4 en su totalidad y muy especialmente su párrafo tercero, por lo que solicita al tribunal que aclare su pronunciamiento en relación con el tercer párrafo del apartado cuarto del art. 46.4 de la Ley 9/2017, de 8 de noviembre.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de la Ley Orgánica del Tribunal Constitucional establece que contra las sentencias del Tribunal Constitucional no cabe recurso alguno, pero en el plazo de dos días a contar desde su notificación las partes podrán solicitar al tribunal la aclaración de sus sentencias. Como ha señalado reiteradamente la jurisprudencia de este tribunal, el objeto de la solicitud de aclaración está limitado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(AATC 235/2014, de 7 de octubre; 83/2020, de 21 de julio, FJ 1,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fundamento jurídico 9 de la sentencia se examinan las impugnaciones relativas a las normas de carácter supletorio. En su apartado C, se enjuicia específicamente la vulneración constitucional que por este motivo se imputa al art. 46.4, limitándose su análisis a su párrafo segundo, pues solo respecto de este párrafo se plantea este motivo de inconstitucionalidad. Por ello, al imputarse esta infracción constitucional únicamente al párrafo segundo, no a los otros párrafos de este precepto, la sentencia afirma que es “el único cuestionado por el Gobierno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fundamento jurídico el Tribunal declaró inconstitucional y nulo este párrafo porque “el Estado no puede, excediendo el tenor de su título competencial en materia de contratación pública y penetrando en el ámbito reservado por la Constitución y los Estatutos a las comunidades autónomas, producir normas jurídicas meramente supletorias (STC 118/1996, FFJJ 6 y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alegación por la que se adujo que el art. 46.4 vulnera las competencias de la Comunidad Autónoma de Aragón en materia de autoorganización y en materia de régimen local ha de entenderse implícitamente desestimada. Como reconoce el propio Gobierno de Aragón cuando fundamenta la impugnación relativa al art. 44, el art. 46, al permitirle establecer las normas competenciales para la resolución del recurso especial, respeta su potestad de autoorganización. Estas competencias no resultan vulneradas porque el párrafo tercero del art. 46.4 prevea la posibilidad de que los ayuntamientos de los municipios de gran población a los que se refiere el artículo 121 de la Ley 7/1985, de 2 de abril, reguladora de las bases del régimen local, y las diputaciones provinciales puedan crear un órgano especializado para la resolución de este recurso especial, que es el motivo en el que el Gobierno aragonés fundamenta la inconstitucionalidad del apartado tercero del art. 46.4. Esta norma, en virtud de las competencias que atribuye al Estado el art. 149.1.18 CE para establecer las bases del régimen jurídico de las administraciones públicas, se limita a prever la posibilidad de creación de un órgano especializado por parte de los citados entes locales, así como su régimen jurídico básico —atribuye al pleno de la corporación la competencia para acordar su creación y nombrar y remover a sus miembros—, remitiendo, en todo lo demás, a la legislación autonómica su regulación, por lo que no puede considerase lesiva de la competencias de la Comunidad Autónoma de Aragón en materia de régimen local.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abril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