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10 de mayo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en el recurso de amparo núm. 5467-2019, promovido por don Víctor Hugo Sánchez Mina,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septiembre de 2019, don Víctor Hugo Sánchez Mina, representado por la procuradora de los tribunales doña María Isabel García Martínez, bajo la dirección del letrado don Miguel Cobas Pascual, interpuso recurso de amparo contra la providencia de la Sección Primera de la Sala de lo Contencioso-Administrativo del Tribunal Supremo de 18 de julio de 2019, por la que se inadmite el recurso de casación núm. 2615-2019, interpuesto contra la sentencia de la Sección Segunda de la Sala de lo Contencioso-Administrativo del Tribunal Superior de Justicia de Madrid núm. 86/2019, de 6 de febrero de 2019, por la que se desestima el recurso de apelación núm. 668-2018, interpuesto contra la sentencia núm. 95/2018 del Juzgado de lo Contencioso-Administrativo núm. 9 de Madrid, de 9 de abril de 2018, pronunciada en el procedimiento abreviado núm. 213-2017, por la que se desestima el recurso interpuesto contra la resolución de la delegada del Gobierno en Madrid de 30 de diciembre de 2016, pronunciada en el expediente sancionador núm. 280020160018293, en que se acuerda la expulsión de territorio nacional con la prohibición de entrada en España por un periodo de tres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el recurrente solicita la suspensión de las resoluciones impugnadas argumentando, con cita de diversa jurisprudencia constitucional (AATC 82/1999, de 12 de abril; 356/2008, de 10 de noviembre, y 156/2010, de 15 de noviembre) que la ejecución de la expulsión del territorio nacional provocaría perjuicios de carácter personal, económico y familiar de imposible resarcimiento.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por sendas providencias de 10 de marzo de 2021,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15 de abril de 2021, presentó alegaciones interesando que se acceda a la suspensión solicitada en aplicación de la jurisprudencia constitucional sobre la suspensión de la sanción de expulsión que establece que “la ejecución de las resoluciones que la acuerdan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(ATC 47/2016, de 29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no ha presentado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acordar la suspensión de las resoluciones impugnadas en la medida en que se acuerda la expulsión del recurrente del territorio nacional y la prohibición de entrada en España por un periodo de tres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de la Ley Orgánica del Tribunal Constitucional (LOTC) dispone que la interposición de un recurso de amparo no suspenderá los efectos del acto o sentencia impugnados y el art. 56.2 LOTC concreta que podrá acordarse la suspensión cuando su ejecución “produzca un perjuicio al recurrente que pudiera hacer perder al amparo su finalidad”. Se establece como condición que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jurisprudencia constitucional ha reiterado, en relación con la suspensión de la sanción de expulsión de territorio nacional y de prohibición de entrada en España, que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(AATC 82/1999, de 12 de abril, FJ 2; 356/2008, de 10 de noviembre, FJ único; 156/2010, de 15 de noviembre, FJ único; 66/2012, de 16 de abril, FJ 2; 116/2013, de 20 de mayo, FJ 2; 90/2015, de 25 de mayo, FJ 2; 47/2016, de 29 de febrero, FJ 2, y 133/2016, de 22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en aplicación de lo expuesto y de acuerdo con lo que solicita el Ministerio Fiscal, resulta procedente acordar la suspensión de la expulsión del territorio nacional del recurrente y la prohibición de entrada durante tres años en España atendiendo al conjunto de circunstancias personales que se reflejan en las actuaciones y al hecho de que no cabe apreciar que dicha suspensión pueda originar una perturbación grave de los intereses generales ni de los derechos fundamentales o libertades públicas de un tercero.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resolución de la delegada del Gobierno en Madrid de 30 de diciembre de 2016, pronunciada en el expediente sancionador núm. 280020160018293, en que se acuerda la expulsión del recurrente de territorio nacional con la prohibición de entrada en España por un periodo de tres años.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