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31 de mayo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4796-2020, promovido doña Carmen Baena Salamanca,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octubre de 2020 tuvo entrada en el registro general de este tribunal el recurso de amparo interpuesto por doña Carmen Baena Salamanca contra la sentencia dictada por la Sala de lo Civil del Tribunal Supremo de fecha 26 de febrero de 2020, dictada en el recurso de casación núm. 1883-2019 y contra la providencia de 27 de julio siguiente, de la misma Sala, que inadmitió el incidente de nulidad interpuesto contra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4 de mayo de 2021, la Sección Segunda de este tribunal acordó la inadmisión por unanimidad de la indicada demanda de amparo en atención a que en la misma concurría la causa de extemporaneidad prevenida en el art. 50.1 a), en relación con el art. 44.2 de la Ley Orgánica del Tribunal Constitucional (LOTC) al considerar que el recurso se había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registrado con fecha 18 de mayo de 2021, interpuso recurso de súplica ex art. 50.3 LOTC contra la providencia de 4 de mayo de 2021, en el que interesa que se deje sin efecto la providencia indicada, sin perjuicio de la consideración que pudiera hacer el tribunal sobre la admisibilidad del recurso de amparo interpuesto. El Ministerio Fiscal argumenta en su recurso que, atendida la fecha de recepción por la procuradora de los tribunales de la notificación de la providencia dictada por la Sala de lo Civil del Tribunal Supremo, de conformidad con lo dispuesto en el art. 151.2 LEC, el día inicial del cómputo para la interposición de la demanda de amparo es el día 31 de julio de 2020, por lo que el plazo finalizó el día 14 de octubre de 2020 a las 15:00 horas, de modo que la demanda de amparo se ha presentado dentro del plazo de treinta días que establece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mayo de 2021,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26 de mayo de 2021,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estimar el recurso de súplica interpuesto por el Ministerio Fiscal y dejar sin efecto, en consecuencia, la providencia de esta Sección, de 4 de mayo del corriente al haberse incurrido en un error material en el cómputo del plazo para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consta en las actuaciones que la notificación de la providencia de 27 de julio de 2020 fue recibida por la procuradora de la recurrente el día 30 de julio a las 12:17 horas, por lo que conforme al art. 151.2 de la Ley de enjuiciamiento civil, el día inicial del cómputo para la interposición de la demanda de amparo es el día 31 de julio de 2020, y es por ello que ha de concluirse que el presente recurso de amparo, cuya entrada en el registro general del Tribunal Constitucional tuvo lugar el día 13 de octubre de 2020, se interpuso dentro del plazo legalmente establecido al efecto (art. 44.2 LOTC), al finalizar este el 14 de octubre de 2020 a las 15:00 horas, como señalan la demandante de amparo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del Ministerio Fiscal determina que se deje sin efecto la providencia impugnada, sin que ello comporte la admisión a trámite del presente recurso de amparo, pues sobre ese particular se resolverá en una nueva providencia que se dictará a tal efecto (por todos, AATC 13/2003, de 20 de enero; 182/2003, de 2 de julio; 48/2006, de 14 de febrero; 286/2013, de 19 de noviembre, y 126/2018, de 3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4 de mayo de 2021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mayo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