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29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2606-2018, promovido por don Jaber El Ghali, contra el decreto del letrado de la administración de justicia del Juzgado de Vigilancia Penitenciaria núm. 3 de Cataluña de 3 de abril de 2018, por el que se desestima el recurso de reposición interpuesto contra la diligencia de ordenación de 20 de enero de 2018, pronunciados en el expediente especial núm. 526-2017.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Jaber El Ghali, representado por el procurador de los tribunales don José Carlos Naharro Pérez, bajo la asistencia de la letrada doña María Concepción Díaz Gómez, formalizó recurso de amparo contra las resoluciones que se mencionan en el encabezamiento de esta sentencia mediante escrito registrado en este tribunal el 16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 la administración de justicia del Juzgado de Vigilancia Penitenciaria núm. 3 de Cataluña, mediante diligencia de ordenación de 20 de enero de 2018 pronunciada en el expediente especial núm. 526-2017, denegó la solicitud del demandante de amparo de la obtención de la copia completa de lo actuado en dicho expediente con suspensión de los plazos para la interposición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interpuso recurso de reposición, que fue desestimado por decreto del mismo letrado de la administración de justicia de 3 de abril de 2018, en el que se indicaba la firmeza de la resolución por no caber recurso alguno, de conformidad con lo dispuesto en el art. 238 bis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que las resoluciones impugnadas han vulnerado su derecho a la tutela judicial efectiva sin indefensión (art. 24.1 CE), en primer lugar, porque se ha hecho aplicación del art. 238 bis LECrim, que impide el control judicial de determinadas decisiones del letrado de la administración de justicia, tal como es exigible de acuerdo con lo establecido en la STC 58/2106, de 17 de marzo, en relación con el art. 102 bis, apartado 2, de la Ley 29/1998, de 13 de julio, reguladora de la jurisdicción contencioso-administrativa. Afirma que la circunstancia de que la vulneración provenga de la ley, dota de especial transcendencia constitucional al recurso de amparo y justifica el planteamiento de una cuestión interna de inconstitucional contra el citado precepto. También se invoca el art. 24.1 CE en relación con la decisión del letrado de la administración de justicia de no suspender los plazos de recurso tras la obtención de las copias del expediente por resultar lesivo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10 de marzo de 2021, acordó admitir a trámite el recurso de amparo apreciando que concurre una especial trascendencia constitucional (art. 50.1 LOTC), como consecuencia de que la posible vulneración del derecho fundamental que se denuncia pudiera provenir de la ley [STC 155/2009, FJ 2 c)]; y dirigir atenta comunicación al órgano judicial para la remisión de testimonio de las actuaciones y el emplazamiento de quienes hubieran sido parte en el procedimiento para que puedan comparecen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13 de abril de 2021, tuvo por personada y parte a la abogacía del Estado y acordó dar vista de las actuaciones a las partes personadas y al Ministerio Fiscal, por plazo común de veinte días,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17 de mayo de 2021, presentó sus alegaciones interesando la estimación del recurso de amparo, declarando vulnerado el art. 24.1 CE, la nulidad del decreto impugnado en el extremo en que declara que es irrecurrible y firme, y la retroacción de actuaciones al momento del pronunciamiento del citado decreto. El Ministerio Fiscal destaca que el art. 238 bis LECrim, en el que la resolución impugnada fundamenta su firmeza, ha sido anulado por la STC 151/2020, de 22 de octubre, por lo que, tal como se ha acordado en la STC 179/2020, de 14 de diciembre, respecto de otro recurso de amparo planteado por el demandante de amparo, procede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abogacía del Estado, mediante escrito registrado 18 de mayo de 2021, presentó sus alegaciones, solicitando que se declarara la improcedencia del planteamiento de la cuestión de inconstitucionalidad, al haberse ya declarado la nulidad del art. 238 bis LECrim por la STC 151/2020, de 22 de octubre. En cuanto al fondo de la invocación del art. 24.1 CE por la no suspensión de plazos para recurrir contenido en las resoluciones impugnadas, insta su desestimación por no suponer una decisión lesiva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sus alegaciones el 13 de mayo de 2021 poniendo de manifiesto que en asuntos que planteaban la misma cuestión se había estimado su recurso de amparo (SSTC 164/2020, de 16 de noviembre, y 179/2020, de 14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junio de 2021,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constitucional establecida por las SSTC 151/2020 y 164/2020.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principal de este recurso de amparo es determinar la vulneración del derecho a la tutela judicial efectiva (art. 24.1 CE) por haber privado la decisión impugnada al demandante de amparo la posibilidad de su control judicial en aplicación del art. 238 bis LECrim, que establece que contra “el decreto del secretario judicial que resuelva el recurso de reposición no cabrá interponer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151/2020, de 22 de octubre, declaró la inconstitucionalidad y nulidad del citado precepto por vulnerar el art. 24.1 CE, con fundamento en que excluye todo control jurisdiccional del decreto del letrado de la administración de justicia que resuelve el recurso de reposición, cerrando la posibilidad de una tutela de derechos e intereses legítimos que la Constitución contempla que sea siempre dispensada por los jueces y tribunales, creando un sector de inmunidad que no se compadece con el art. 24.1 CE ni con lo previsto en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jurisprudencia, y a consecuencia de la anulación del citado precepto en las SSTC 164/2020, de 16 de noviembre, y 179/2020, de 14 de diciembre, sendos recursos de amparo interpuestos por el mismo demandante que el presente, en los que se planteaba la misma cuestión, fueron estimados. A la misma conclusión debe llegarse también en este caso con los efectos inherentes de anulación del decreto impugnado en el extremo en que se declara su firmeza y de retroacción de actuaciones para que se pronuncie otro sobre ese particular y se confiera la posibilidad de interponer recurso de revisión frente al referido decreto, de acuerdo con lo establecido en la STC 151/2020,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Jaber El Ghali,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decreto del letrado de la administración de justicia del Juzgado de Vigilancia Penitenciaria núm. 3 de Cataluña de 3 de abril de 2018, pronunciado en el expediente especial núm. 526-2017, en cuanto que contra el mismo no cabe interponer recurso alguno y era firme.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del pronunciamiento del decreto para que se provea su reparación confiriendo la posibilidad de interponer recurso de revisión frente al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